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0046" w14:textId="77777777" w:rsidR="00382EE5" w:rsidRDefault="00382EE5" w:rsidP="00875BD3">
      <w:pPr>
        <w:jc w:val="center"/>
        <w:rPr>
          <w:rFonts w:eastAsia="Times New Roman" w:cstheme="minorHAnsi"/>
          <w:b/>
          <w:bCs/>
          <w:smallCaps/>
          <w:sz w:val="48"/>
          <w:szCs w:val="48"/>
          <w:u w:val="single"/>
          <w:lang w:eastAsia="x-none"/>
        </w:rPr>
      </w:pPr>
      <w:bookmarkStart w:id="0" w:name="_Toc508350641"/>
    </w:p>
    <w:p w14:paraId="50FC3AF2" w14:textId="77777777" w:rsidR="00382EE5" w:rsidRDefault="00382EE5" w:rsidP="00875BD3">
      <w:pPr>
        <w:jc w:val="center"/>
        <w:rPr>
          <w:rFonts w:eastAsia="Times New Roman" w:cstheme="minorHAnsi"/>
          <w:b/>
          <w:bCs/>
          <w:smallCaps/>
          <w:sz w:val="48"/>
          <w:szCs w:val="48"/>
          <w:u w:val="single"/>
          <w:lang w:eastAsia="x-none"/>
        </w:rPr>
      </w:pPr>
    </w:p>
    <w:p w14:paraId="5E7F05A0" w14:textId="16F85C5E" w:rsidR="00875BD3" w:rsidRPr="00382EE5" w:rsidRDefault="00875BD3" w:rsidP="00875BD3">
      <w:pPr>
        <w:jc w:val="center"/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</w:pPr>
      <w:r w:rsidRPr="00382EE5">
        <w:rPr>
          <w:rFonts w:eastAsia="Times New Roman" w:cstheme="minorHAnsi"/>
          <w:b/>
          <w:bCs/>
          <w:smallCaps/>
          <w:sz w:val="96"/>
          <w:szCs w:val="48"/>
          <w:u w:val="single"/>
          <w:lang w:eastAsia="x-none"/>
        </w:rPr>
        <w:t>IELCE – Section 243</w:t>
      </w:r>
    </w:p>
    <w:p w14:paraId="4A07BD77" w14:textId="4E7D43A3" w:rsidR="00875BD3" w:rsidRPr="00382EE5" w:rsidRDefault="00E40FF7" w:rsidP="00875BD3">
      <w:pPr>
        <w:jc w:val="center"/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</w:pPr>
      <w:r w:rsidRPr="00382EE5"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  <w:t>For Currently DLLR F</w:t>
      </w:r>
      <w:r w:rsidR="00875BD3" w:rsidRPr="00382EE5"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  <w:t xml:space="preserve">unded IELCE </w:t>
      </w:r>
      <w:r w:rsidRPr="00382EE5"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  <w:t>P</w:t>
      </w:r>
      <w:r w:rsidR="00875BD3" w:rsidRPr="00382EE5"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  <w:t xml:space="preserve">rograms </w:t>
      </w:r>
      <w:r w:rsidRPr="00382EE5"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  <w:t>O</w:t>
      </w:r>
      <w:r w:rsidR="004655C1" w:rsidRPr="00382EE5">
        <w:rPr>
          <w:rFonts w:eastAsia="Times New Roman" w:cstheme="minorHAnsi"/>
          <w:b/>
          <w:bCs/>
          <w:smallCaps/>
          <w:sz w:val="44"/>
          <w:szCs w:val="28"/>
          <w:u w:val="single"/>
          <w:lang w:eastAsia="x-none"/>
        </w:rPr>
        <w:t>nly</w:t>
      </w:r>
    </w:p>
    <w:bookmarkEnd w:id="0"/>
    <w:p w14:paraId="62D92AC8" w14:textId="5AE761C9" w:rsidR="00382EE5" w:rsidRDefault="00382EE5">
      <w:r>
        <w:br w:type="page"/>
      </w:r>
    </w:p>
    <w:p w14:paraId="799F4ECE" w14:textId="50AC5492" w:rsidR="00D56AB9" w:rsidRPr="008B226D" w:rsidRDefault="008B226D">
      <w:pPr>
        <w:rPr>
          <w:b/>
          <w:sz w:val="28"/>
          <w:szCs w:val="28"/>
          <w:u w:val="single"/>
        </w:rPr>
      </w:pPr>
      <w:r w:rsidRPr="008B226D">
        <w:rPr>
          <w:b/>
          <w:sz w:val="28"/>
          <w:szCs w:val="28"/>
          <w:u w:val="single"/>
        </w:rPr>
        <w:lastRenderedPageBreak/>
        <w:t>What’s New?</w:t>
      </w:r>
    </w:p>
    <w:p w14:paraId="0AF9337D" w14:textId="77777777" w:rsidR="00E97355" w:rsidRDefault="00E97355" w:rsidP="00E97355">
      <w:pPr>
        <w:spacing w:after="0" w:line="240" w:lineRule="auto"/>
        <w:rPr>
          <w:sz w:val="24"/>
        </w:rPr>
      </w:pPr>
      <w:r>
        <w:rPr>
          <w:sz w:val="24"/>
        </w:rPr>
        <w:t>As stated in the IELCE/IET meeting held at Montgomery College on July 18, 2019, this specific Program is a work in progress</w:t>
      </w:r>
      <w:r w:rsidRPr="008B226D">
        <w:rPr>
          <w:sz w:val="24"/>
        </w:rPr>
        <w:t>.</w:t>
      </w:r>
      <w:r>
        <w:rPr>
          <w:sz w:val="24"/>
        </w:rPr>
        <w:t xml:space="preserve">  In this past fiscal year (FY19</w:t>
      </w:r>
      <w:r w:rsidRPr="008B226D">
        <w:rPr>
          <w:sz w:val="24"/>
        </w:rPr>
        <w:t xml:space="preserve">) the Department of Labor, Licensing and Regulation (DLLR) took advantage of previous concessions, which allowed us to permit local providers to use 25% of their total IELCE/IET budget to offer IET Bridge classes to ESL Level 4 participants. </w:t>
      </w:r>
    </w:p>
    <w:p w14:paraId="1538F91C" w14:textId="77777777" w:rsidR="00E97355" w:rsidRPr="008B226D" w:rsidRDefault="00E97355" w:rsidP="00E97355">
      <w:pPr>
        <w:spacing w:after="0" w:line="240" w:lineRule="auto"/>
        <w:rPr>
          <w:sz w:val="24"/>
        </w:rPr>
      </w:pPr>
    </w:p>
    <w:p w14:paraId="45B97193" w14:textId="77777777" w:rsidR="00E97355" w:rsidRPr="008B226D" w:rsidRDefault="00E97355" w:rsidP="00E97355">
      <w:pPr>
        <w:spacing w:after="0" w:line="240" w:lineRule="auto"/>
        <w:rPr>
          <w:sz w:val="24"/>
        </w:rPr>
      </w:pPr>
      <w:r w:rsidRPr="008B226D">
        <w:rPr>
          <w:sz w:val="24"/>
        </w:rPr>
        <w:t>In FY</w:t>
      </w:r>
      <w:r>
        <w:rPr>
          <w:sz w:val="24"/>
        </w:rPr>
        <w:t xml:space="preserve"> 20</w:t>
      </w:r>
      <w:r w:rsidRPr="008B226D">
        <w:rPr>
          <w:sz w:val="24"/>
        </w:rPr>
        <w:t>, DLLR will expand the use of IELCE/IET funds to include ESL Level 3 students to participate in these IET Bridge classes.</w:t>
      </w:r>
      <w:r>
        <w:rPr>
          <w:sz w:val="24"/>
        </w:rPr>
        <w:t xml:space="preserve"> </w:t>
      </w:r>
      <w:r w:rsidRPr="008B226D">
        <w:rPr>
          <w:sz w:val="24"/>
        </w:rPr>
        <w:t xml:space="preserve"> In accordance with the likely increase in student participation, local providers may now use up to 30% of IELCE/IET funds to run bridge classes that </w:t>
      </w:r>
      <w:r w:rsidRPr="00F9552D">
        <w:rPr>
          <w:sz w:val="24"/>
          <w:u w:val="single"/>
        </w:rPr>
        <w:t>specifically</w:t>
      </w:r>
      <w:r w:rsidRPr="008B226D">
        <w:rPr>
          <w:sz w:val="24"/>
        </w:rPr>
        <w:t xml:space="preserve"> include ESL Level 3 students. The remaining 70% of IELCE/IET budget </w:t>
      </w:r>
      <w:proofErr w:type="gramStart"/>
      <w:r w:rsidRPr="008B226D">
        <w:rPr>
          <w:sz w:val="24"/>
        </w:rPr>
        <w:t>must be used</w:t>
      </w:r>
      <w:proofErr w:type="gramEnd"/>
      <w:r w:rsidRPr="008B226D">
        <w:rPr>
          <w:sz w:val="24"/>
        </w:rPr>
        <w:t xml:space="preserve"> to fund the actual IELCE/IET Program.</w:t>
      </w:r>
      <w:r>
        <w:rPr>
          <w:sz w:val="24"/>
        </w:rPr>
        <w:t xml:space="preserve"> </w:t>
      </w:r>
      <w:r w:rsidRPr="008B226D">
        <w:rPr>
          <w:sz w:val="24"/>
        </w:rPr>
        <w:t xml:space="preserve"> In addition, while the use of </w:t>
      </w:r>
      <w:r>
        <w:rPr>
          <w:sz w:val="24"/>
        </w:rPr>
        <w:t>Title II A</w:t>
      </w:r>
      <w:r w:rsidRPr="008B226D">
        <w:rPr>
          <w:sz w:val="24"/>
        </w:rPr>
        <w:t xml:space="preserve">dult Education funds </w:t>
      </w:r>
      <w:r>
        <w:rPr>
          <w:sz w:val="24"/>
        </w:rPr>
        <w:t>to support the IET</w:t>
      </w:r>
      <w:r w:rsidRPr="008B226D">
        <w:rPr>
          <w:sz w:val="24"/>
        </w:rPr>
        <w:t xml:space="preserve"> component </w:t>
      </w:r>
      <w:proofErr w:type="gramStart"/>
      <w:r w:rsidRPr="008B226D">
        <w:rPr>
          <w:sz w:val="24"/>
        </w:rPr>
        <w:t>is not prohibited</w:t>
      </w:r>
      <w:proofErr w:type="gramEnd"/>
      <w:r w:rsidRPr="008B226D">
        <w:rPr>
          <w:sz w:val="24"/>
        </w:rPr>
        <w:t xml:space="preserve">, it is not deemed best practice. It </w:t>
      </w:r>
      <w:proofErr w:type="gramStart"/>
      <w:r w:rsidRPr="008B226D">
        <w:rPr>
          <w:sz w:val="24"/>
        </w:rPr>
        <w:t>is strongly recommended</w:t>
      </w:r>
      <w:proofErr w:type="gramEnd"/>
      <w:r w:rsidRPr="008B226D">
        <w:rPr>
          <w:sz w:val="24"/>
        </w:rPr>
        <w:t xml:space="preserve"> that occupational training be funded through a partner. </w:t>
      </w:r>
    </w:p>
    <w:p w14:paraId="00DC990B" w14:textId="4523EB89" w:rsidR="008B226D" w:rsidRDefault="008B226D">
      <w:r>
        <w:br w:type="page"/>
      </w:r>
    </w:p>
    <w:p w14:paraId="0E0FBE10" w14:textId="6EB4ECB8" w:rsidR="008B226D" w:rsidRPr="008B226D" w:rsidRDefault="008B226D" w:rsidP="008B226D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8B226D">
        <w:rPr>
          <w:b/>
          <w:sz w:val="28"/>
          <w:szCs w:val="28"/>
        </w:rPr>
        <w:lastRenderedPageBreak/>
        <w:t>Proposal for FY20 IELCE/IET Program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3707" w:rsidRPr="00875BD3" w14:paraId="1D1E89A3" w14:textId="77777777" w:rsidTr="00D90CAB">
        <w:tc>
          <w:tcPr>
            <w:tcW w:w="9345" w:type="dxa"/>
            <w:shd w:val="clear" w:color="auto" w:fill="BDD6EE"/>
          </w:tcPr>
          <w:p w14:paraId="404B202F" w14:textId="43DD2C19" w:rsidR="001C3707" w:rsidRPr="00875BD3" w:rsidRDefault="00E97355" w:rsidP="004655C1">
            <w:pPr>
              <w:rPr>
                <w:sz w:val="24"/>
                <w:szCs w:val="24"/>
              </w:rPr>
            </w:pPr>
            <w:r w:rsidRPr="00875BD3">
              <w:rPr>
                <w:sz w:val="24"/>
                <w:szCs w:val="24"/>
              </w:rPr>
              <w:t xml:space="preserve">Describe how </w:t>
            </w:r>
            <w:r>
              <w:rPr>
                <w:sz w:val="24"/>
                <w:szCs w:val="24"/>
              </w:rPr>
              <w:t>effective your IELCE/IET program was in serving English Language Learners in FY19. Ex: certificates earned, gained employment, gained job readiness skills, on next step of Career pathway, entered post-secondary ed. etc. To what do you attribute this?</w:t>
            </w:r>
          </w:p>
        </w:tc>
      </w:tr>
      <w:tr w:rsidR="001C3707" w:rsidRPr="00875BD3" w14:paraId="1AD5B9B7" w14:textId="77777777" w:rsidTr="00D90CAB">
        <w:tc>
          <w:tcPr>
            <w:tcW w:w="9345" w:type="dxa"/>
          </w:tcPr>
          <w:p w14:paraId="3792EE88" w14:textId="77777777" w:rsidR="001C3707" w:rsidRPr="00875BD3" w:rsidRDefault="001C3707" w:rsidP="00D90CAB">
            <w:pPr>
              <w:rPr>
                <w:b/>
                <w:sz w:val="24"/>
                <w:szCs w:val="24"/>
              </w:rPr>
            </w:pPr>
            <w:r w:rsidRPr="00875BD3">
              <w:rPr>
                <w:sz w:val="24"/>
                <w:szCs w:val="24"/>
              </w:rPr>
              <w:t>Text boxes will expand as needed.</w:t>
            </w:r>
            <w:r w:rsidRPr="00875BD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1C3707" w:rsidRPr="00875BD3" w14:paraId="518DF7FC" w14:textId="77777777" w:rsidTr="00D90CAB">
        <w:tc>
          <w:tcPr>
            <w:tcW w:w="9345" w:type="dxa"/>
            <w:shd w:val="clear" w:color="auto" w:fill="BDD6EE"/>
          </w:tcPr>
          <w:p w14:paraId="144260F3" w14:textId="122C1C00" w:rsidR="001C3707" w:rsidRPr="00875BD3" w:rsidRDefault="001C3707" w:rsidP="004655C1">
            <w:pPr>
              <w:rPr>
                <w:sz w:val="24"/>
                <w:szCs w:val="24"/>
              </w:rPr>
            </w:pPr>
            <w:r w:rsidRPr="00875BD3">
              <w:rPr>
                <w:sz w:val="24"/>
                <w:szCs w:val="24"/>
              </w:rPr>
              <w:t xml:space="preserve">Describe </w:t>
            </w:r>
            <w:r w:rsidR="004655C1">
              <w:rPr>
                <w:sz w:val="24"/>
                <w:szCs w:val="24"/>
              </w:rPr>
              <w:t>the target population your IELCE/IET program wi</w:t>
            </w:r>
            <w:r w:rsidR="00F6656D">
              <w:rPr>
                <w:sz w:val="24"/>
                <w:szCs w:val="24"/>
              </w:rPr>
              <w:t>ll serve in FY20.  Explain this.</w:t>
            </w:r>
          </w:p>
        </w:tc>
      </w:tr>
      <w:tr w:rsidR="001C3707" w:rsidRPr="00875BD3" w14:paraId="1F796CD5" w14:textId="77777777" w:rsidTr="00D90CAB">
        <w:tc>
          <w:tcPr>
            <w:tcW w:w="9345" w:type="dxa"/>
          </w:tcPr>
          <w:p w14:paraId="4E6F50BE" w14:textId="77777777" w:rsidR="001C3707" w:rsidRPr="00875BD3" w:rsidRDefault="001C3707" w:rsidP="00D90CAB">
            <w:pPr>
              <w:rPr>
                <w:sz w:val="24"/>
                <w:szCs w:val="24"/>
              </w:rPr>
            </w:pPr>
          </w:p>
        </w:tc>
      </w:tr>
      <w:tr w:rsidR="001C3707" w:rsidRPr="00875BD3" w14:paraId="089858DB" w14:textId="77777777" w:rsidTr="00D90CAB">
        <w:tc>
          <w:tcPr>
            <w:tcW w:w="9345" w:type="dxa"/>
            <w:shd w:val="clear" w:color="auto" w:fill="BDD6EE"/>
          </w:tcPr>
          <w:p w14:paraId="1050D8C3" w14:textId="77777777" w:rsidR="001C3707" w:rsidRPr="00875BD3" w:rsidRDefault="001C3707" w:rsidP="00D90CAB">
            <w:pPr>
              <w:rPr>
                <w:sz w:val="24"/>
                <w:szCs w:val="24"/>
              </w:rPr>
            </w:pPr>
            <w:r w:rsidRPr="00875BD3">
              <w:rPr>
                <w:sz w:val="24"/>
                <w:szCs w:val="24"/>
              </w:rPr>
              <w:t>Describe how the organization has been able to offer the proposed integrated education and training (IET) in partnership with another organization.  Explain this partnership.</w:t>
            </w:r>
          </w:p>
        </w:tc>
      </w:tr>
      <w:tr w:rsidR="001C3707" w:rsidRPr="00875BD3" w14:paraId="1CE4D434" w14:textId="77777777" w:rsidTr="00D90CAB">
        <w:tc>
          <w:tcPr>
            <w:tcW w:w="9345" w:type="dxa"/>
          </w:tcPr>
          <w:p w14:paraId="57957CE2" w14:textId="77777777" w:rsidR="001C3707" w:rsidRPr="00875BD3" w:rsidRDefault="001C3707" w:rsidP="00D90CAB">
            <w:pPr>
              <w:rPr>
                <w:sz w:val="24"/>
                <w:szCs w:val="24"/>
              </w:rPr>
            </w:pPr>
          </w:p>
        </w:tc>
      </w:tr>
      <w:tr w:rsidR="001C3707" w:rsidRPr="00875BD3" w14:paraId="499A145F" w14:textId="77777777" w:rsidTr="00D90CAB">
        <w:tc>
          <w:tcPr>
            <w:tcW w:w="9345" w:type="dxa"/>
            <w:shd w:val="clear" w:color="auto" w:fill="BDD6EE"/>
          </w:tcPr>
          <w:p w14:paraId="11AD8A29" w14:textId="56940E60" w:rsidR="001C3707" w:rsidRPr="00875BD3" w:rsidRDefault="001C3707" w:rsidP="004655C1">
            <w:pPr>
              <w:rPr>
                <w:sz w:val="24"/>
                <w:szCs w:val="24"/>
              </w:rPr>
            </w:pPr>
            <w:r w:rsidRPr="00875BD3">
              <w:rPr>
                <w:sz w:val="24"/>
                <w:szCs w:val="24"/>
              </w:rPr>
              <w:t xml:space="preserve">Describe what specific occupation or occupational sector the proposed IET(s) covers. </w:t>
            </w:r>
            <w:r w:rsidR="004655C1">
              <w:rPr>
                <w:sz w:val="24"/>
                <w:szCs w:val="24"/>
              </w:rPr>
              <w:t xml:space="preserve">What is the </w:t>
            </w:r>
            <w:r w:rsidRPr="00875BD3">
              <w:rPr>
                <w:sz w:val="24"/>
                <w:szCs w:val="24"/>
              </w:rPr>
              <w:t>Career Pathway?</w:t>
            </w:r>
          </w:p>
        </w:tc>
      </w:tr>
      <w:tr w:rsidR="001C3707" w:rsidRPr="00875BD3" w14:paraId="6EE4CC85" w14:textId="77777777" w:rsidTr="00D90CAB">
        <w:tc>
          <w:tcPr>
            <w:tcW w:w="9345" w:type="dxa"/>
          </w:tcPr>
          <w:p w14:paraId="370C534F" w14:textId="77777777" w:rsidR="001C3707" w:rsidRPr="00875BD3" w:rsidRDefault="001C3707" w:rsidP="00D90CAB">
            <w:pPr>
              <w:rPr>
                <w:sz w:val="24"/>
                <w:szCs w:val="24"/>
              </w:rPr>
            </w:pPr>
          </w:p>
        </w:tc>
      </w:tr>
      <w:tr w:rsidR="001C3707" w:rsidRPr="00875BD3" w14:paraId="0A29DC60" w14:textId="77777777" w:rsidTr="00D90CAB">
        <w:tc>
          <w:tcPr>
            <w:tcW w:w="9345" w:type="dxa"/>
            <w:shd w:val="clear" w:color="auto" w:fill="BDD6EE"/>
          </w:tcPr>
          <w:p w14:paraId="5A870DD0" w14:textId="5A0FD208" w:rsidR="001C3707" w:rsidRPr="00875BD3" w:rsidRDefault="004655C1" w:rsidP="00D9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funding source for the training position of the proposed IET changed or remained the same? Explain.</w:t>
            </w:r>
          </w:p>
        </w:tc>
      </w:tr>
      <w:tr w:rsidR="001C3707" w:rsidRPr="00875BD3" w14:paraId="020B8B04" w14:textId="77777777" w:rsidTr="00D90CAB">
        <w:tc>
          <w:tcPr>
            <w:tcW w:w="9345" w:type="dxa"/>
          </w:tcPr>
          <w:p w14:paraId="02F8135D" w14:textId="77777777" w:rsidR="001C3707" w:rsidRPr="00875BD3" w:rsidRDefault="001C3707" w:rsidP="00D90CAB">
            <w:pPr>
              <w:rPr>
                <w:sz w:val="24"/>
                <w:szCs w:val="24"/>
              </w:rPr>
            </w:pPr>
          </w:p>
        </w:tc>
      </w:tr>
      <w:tr w:rsidR="001C3707" w:rsidRPr="00875BD3" w14:paraId="3BB4CC63" w14:textId="77777777" w:rsidTr="00D90CAB">
        <w:tc>
          <w:tcPr>
            <w:tcW w:w="9345" w:type="dxa"/>
            <w:shd w:val="clear" w:color="auto" w:fill="BDD6EE"/>
          </w:tcPr>
          <w:p w14:paraId="0FE0BCB9" w14:textId="55F28570" w:rsidR="001C3707" w:rsidRPr="00875BD3" w:rsidRDefault="001C3707" w:rsidP="004655C1">
            <w:pPr>
              <w:rPr>
                <w:sz w:val="24"/>
                <w:szCs w:val="24"/>
              </w:rPr>
            </w:pPr>
            <w:r w:rsidRPr="00875BD3">
              <w:rPr>
                <w:sz w:val="24"/>
                <w:szCs w:val="24"/>
              </w:rPr>
              <w:t>Describe the program strategy for recruit</w:t>
            </w:r>
            <w:r w:rsidR="004655C1">
              <w:rPr>
                <w:sz w:val="24"/>
                <w:szCs w:val="24"/>
              </w:rPr>
              <w:t>ment and planning for sustainability for the FY20 IELCE/IET program</w:t>
            </w:r>
            <w:r w:rsidRPr="00875BD3">
              <w:rPr>
                <w:sz w:val="24"/>
                <w:szCs w:val="24"/>
              </w:rPr>
              <w:t>.</w:t>
            </w:r>
          </w:p>
        </w:tc>
      </w:tr>
      <w:tr w:rsidR="001C3707" w:rsidRPr="00875BD3" w14:paraId="1C1651E1" w14:textId="77777777" w:rsidTr="00D90CAB">
        <w:tc>
          <w:tcPr>
            <w:tcW w:w="9345" w:type="dxa"/>
          </w:tcPr>
          <w:p w14:paraId="2211B340" w14:textId="77777777" w:rsidR="001C3707" w:rsidRPr="00875BD3" w:rsidRDefault="001C3707" w:rsidP="00D90CAB">
            <w:pPr>
              <w:rPr>
                <w:sz w:val="24"/>
                <w:szCs w:val="24"/>
              </w:rPr>
            </w:pPr>
          </w:p>
        </w:tc>
      </w:tr>
    </w:tbl>
    <w:p w14:paraId="1DA68496" w14:textId="1839330E" w:rsidR="008B226D" w:rsidRDefault="008B226D" w:rsidP="00D616E6">
      <w:pPr>
        <w:rPr>
          <w:sz w:val="24"/>
          <w:szCs w:val="24"/>
        </w:rPr>
      </w:pPr>
    </w:p>
    <w:p w14:paraId="65685B47" w14:textId="6F829FA9" w:rsidR="008B226D" w:rsidRDefault="008B226D" w:rsidP="00D616E6">
      <w:pPr>
        <w:rPr>
          <w:sz w:val="24"/>
          <w:szCs w:val="24"/>
        </w:rPr>
      </w:pPr>
    </w:p>
    <w:p w14:paraId="013413AE" w14:textId="45E3A24C" w:rsidR="008B226D" w:rsidRDefault="008B226D" w:rsidP="00D616E6">
      <w:pPr>
        <w:rPr>
          <w:sz w:val="24"/>
          <w:szCs w:val="24"/>
        </w:rPr>
      </w:pPr>
    </w:p>
    <w:p w14:paraId="48D61E45" w14:textId="77777777" w:rsidR="008B226D" w:rsidRDefault="008B226D" w:rsidP="00D616E6">
      <w:pPr>
        <w:rPr>
          <w:sz w:val="24"/>
          <w:szCs w:val="24"/>
        </w:rPr>
      </w:pPr>
    </w:p>
    <w:p w14:paraId="4564A710" w14:textId="4169F06C" w:rsidR="00323263" w:rsidRDefault="00323263" w:rsidP="00D616E6">
      <w:pPr>
        <w:rPr>
          <w:sz w:val="24"/>
          <w:szCs w:val="24"/>
        </w:rPr>
      </w:pPr>
    </w:p>
    <w:p w14:paraId="18393062" w14:textId="73F6D973" w:rsidR="00323263" w:rsidRDefault="003232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43D90F" w14:textId="77777777" w:rsidR="00323263" w:rsidRDefault="00323263" w:rsidP="00D616E6">
      <w:pPr>
        <w:rPr>
          <w:sz w:val="24"/>
          <w:szCs w:val="24"/>
        </w:rPr>
        <w:sectPr w:rsidR="003232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010DF" w14:textId="77777777" w:rsidR="004655C1" w:rsidRPr="004655C1" w:rsidRDefault="004655C1" w:rsidP="004655C1">
      <w:pPr>
        <w:pStyle w:val="Header"/>
        <w:jc w:val="center"/>
        <w:rPr>
          <w:b/>
          <w:sz w:val="28"/>
          <w:szCs w:val="28"/>
        </w:rPr>
      </w:pPr>
      <w:r w:rsidRPr="004655C1">
        <w:rPr>
          <w:b/>
          <w:sz w:val="28"/>
          <w:szCs w:val="28"/>
        </w:rPr>
        <w:lastRenderedPageBreak/>
        <w:t>Performance Results for IELCE/IET FY19</w:t>
      </w:r>
    </w:p>
    <w:p w14:paraId="6000F568" w14:textId="60B05037" w:rsidR="00323263" w:rsidRDefault="00323263" w:rsidP="00D616E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397"/>
        <w:gridCol w:w="2621"/>
        <w:gridCol w:w="2620"/>
        <w:gridCol w:w="2620"/>
      </w:tblGrid>
      <w:tr w:rsidR="00E97355" w:rsidRPr="004655C1" w14:paraId="4E7263B3" w14:textId="77777777" w:rsidTr="000A7D28">
        <w:tc>
          <w:tcPr>
            <w:tcW w:w="2692" w:type="dxa"/>
            <w:shd w:val="clear" w:color="auto" w:fill="EEECE1" w:themeFill="background2"/>
          </w:tcPr>
          <w:p w14:paraId="128CFB55" w14:textId="77777777" w:rsidR="00E97355" w:rsidRPr="004655C1" w:rsidRDefault="00E97355" w:rsidP="000A7D28">
            <w:pPr>
              <w:rPr>
                <w:sz w:val="24"/>
                <w:szCs w:val="24"/>
              </w:rPr>
            </w:pPr>
            <w:r w:rsidRPr="004655C1">
              <w:rPr>
                <w:sz w:val="24"/>
                <w:szCs w:val="24"/>
              </w:rPr>
              <w:t>Participant Level</w:t>
            </w:r>
          </w:p>
        </w:tc>
        <w:tc>
          <w:tcPr>
            <w:tcW w:w="2397" w:type="dxa"/>
            <w:shd w:val="clear" w:color="auto" w:fill="EEECE1" w:themeFill="background2"/>
          </w:tcPr>
          <w:p w14:paraId="4592B742" w14:textId="77777777" w:rsidR="00E97355" w:rsidRPr="004655C1" w:rsidRDefault="00E97355" w:rsidP="000A7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Number to be Enrolled</w:t>
            </w:r>
          </w:p>
        </w:tc>
        <w:tc>
          <w:tcPr>
            <w:tcW w:w="2621" w:type="dxa"/>
            <w:shd w:val="clear" w:color="auto" w:fill="EEECE1" w:themeFill="background2"/>
          </w:tcPr>
          <w:p w14:paraId="288D2E7A" w14:textId="77777777" w:rsidR="00E97355" w:rsidRPr="004655C1" w:rsidRDefault="00E97355" w:rsidP="000A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N</w:t>
            </w:r>
            <w:r w:rsidRPr="004655C1">
              <w:rPr>
                <w:sz w:val="24"/>
                <w:szCs w:val="24"/>
              </w:rPr>
              <w:t>umber Enrolled</w:t>
            </w:r>
          </w:p>
        </w:tc>
        <w:tc>
          <w:tcPr>
            <w:tcW w:w="2620" w:type="dxa"/>
            <w:shd w:val="clear" w:color="auto" w:fill="EEECE1" w:themeFill="background2"/>
          </w:tcPr>
          <w:p w14:paraId="4B3CCD72" w14:textId="77777777" w:rsidR="00E97355" w:rsidRPr="004655C1" w:rsidRDefault="00E97355" w:rsidP="000A7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Classes Projected to Run</w:t>
            </w:r>
          </w:p>
        </w:tc>
        <w:tc>
          <w:tcPr>
            <w:tcW w:w="2620" w:type="dxa"/>
            <w:shd w:val="clear" w:color="auto" w:fill="EEECE1" w:themeFill="background2"/>
          </w:tcPr>
          <w:p w14:paraId="76A2610F" w14:textId="77777777" w:rsidR="00E97355" w:rsidRPr="004655C1" w:rsidRDefault="00E97355" w:rsidP="000A7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N</w:t>
            </w:r>
            <w:r w:rsidRPr="004655C1">
              <w:rPr>
                <w:sz w:val="24"/>
                <w:szCs w:val="24"/>
              </w:rPr>
              <w:t>umber of Classes Run</w:t>
            </w:r>
          </w:p>
        </w:tc>
      </w:tr>
      <w:tr w:rsidR="00E97355" w:rsidRPr="004655C1" w14:paraId="03118106" w14:textId="77777777" w:rsidTr="000A7D28">
        <w:tc>
          <w:tcPr>
            <w:tcW w:w="2692" w:type="dxa"/>
          </w:tcPr>
          <w:p w14:paraId="1567AF8F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  <w:p w14:paraId="45C6B925" w14:textId="77777777" w:rsidR="00E97355" w:rsidRPr="004655C1" w:rsidRDefault="00E97355" w:rsidP="000A7D28">
            <w:pPr>
              <w:rPr>
                <w:sz w:val="24"/>
                <w:szCs w:val="24"/>
              </w:rPr>
            </w:pPr>
            <w:r w:rsidRPr="004655C1">
              <w:rPr>
                <w:sz w:val="24"/>
                <w:szCs w:val="24"/>
              </w:rPr>
              <w:t>ESL Level 4 (Bridge)</w:t>
            </w:r>
          </w:p>
        </w:tc>
        <w:tc>
          <w:tcPr>
            <w:tcW w:w="2397" w:type="dxa"/>
          </w:tcPr>
          <w:p w14:paraId="73B9A31E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33B3BE92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1A2A682" w14:textId="77777777" w:rsidR="00E97355" w:rsidRPr="004655C1" w:rsidRDefault="00E97355" w:rsidP="000A7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7DA76EF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</w:tr>
      <w:tr w:rsidR="00E97355" w:rsidRPr="004655C1" w14:paraId="1D30397B" w14:textId="77777777" w:rsidTr="000A7D28">
        <w:tc>
          <w:tcPr>
            <w:tcW w:w="2692" w:type="dxa"/>
          </w:tcPr>
          <w:p w14:paraId="518F809F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  <w:p w14:paraId="09462B82" w14:textId="77777777" w:rsidR="00E97355" w:rsidRPr="004655C1" w:rsidRDefault="00E97355" w:rsidP="000A7D28">
            <w:pPr>
              <w:rPr>
                <w:sz w:val="24"/>
                <w:szCs w:val="24"/>
              </w:rPr>
            </w:pPr>
            <w:r w:rsidRPr="004655C1">
              <w:rPr>
                <w:sz w:val="24"/>
                <w:szCs w:val="24"/>
              </w:rPr>
              <w:t>ESL Level 4 (IET)</w:t>
            </w:r>
          </w:p>
        </w:tc>
        <w:tc>
          <w:tcPr>
            <w:tcW w:w="2397" w:type="dxa"/>
          </w:tcPr>
          <w:p w14:paraId="63FFD93D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93DF025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0832A65E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A251F58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</w:tr>
      <w:tr w:rsidR="00E97355" w:rsidRPr="004655C1" w14:paraId="0F4E153B" w14:textId="77777777" w:rsidTr="000A7D28">
        <w:tc>
          <w:tcPr>
            <w:tcW w:w="2692" w:type="dxa"/>
          </w:tcPr>
          <w:p w14:paraId="5E19D43C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  <w:p w14:paraId="1FEFF69D" w14:textId="77777777" w:rsidR="00E97355" w:rsidRPr="004655C1" w:rsidRDefault="00E97355" w:rsidP="000A7D28">
            <w:pPr>
              <w:rPr>
                <w:sz w:val="24"/>
                <w:szCs w:val="24"/>
              </w:rPr>
            </w:pPr>
            <w:r w:rsidRPr="004655C1">
              <w:rPr>
                <w:sz w:val="24"/>
                <w:szCs w:val="24"/>
              </w:rPr>
              <w:t>ESL Level 5</w:t>
            </w:r>
          </w:p>
        </w:tc>
        <w:tc>
          <w:tcPr>
            <w:tcW w:w="2397" w:type="dxa"/>
          </w:tcPr>
          <w:p w14:paraId="53D49F54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1EF13F7F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81DA6C8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494109D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</w:tr>
      <w:tr w:rsidR="00E97355" w:rsidRPr="004655C1" w14:paraId="5E235F5B" w14:textId="77777777" w:rsidTr="000A7D28">
        <w:tc>
          <w:tcPr>
            <w:tcW w:w="2692" w:type="dxa"/>
          </w:tcPr>
          <w:p w14:paraId="419122C5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  <w:p w14:paraId="77EFAB17" w14:textId="77777777" w:rsidR="00E97355" w:rsidRPr="004655C1" w:rsidRDefault="00E97355" w:rsidP="000A7D28">
            <w:pPr>
              <w:rPr>
                <w:sz w:val="24"/>
                <w:szCs w:val="24"/>
              </w:rPr>
            </w:pPr>
            <w:r w:rsidRPr="004655C1">
              <w:rPr>
                <w:sz w:val="24"/>
                <w:szCs w:val="24"/>
              </w:rPr>
              <w:t>ESL Level 6</w:t>
            </w:r>
          </w:p>
        </w:tc>
        <w:tc>
          <w:tcPr>
            <w:tcW w:w="2397" w:type="dxa"/>
          </w:tcPr>
          <w:p w14:paraId="40839528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12FDE67E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318023C6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BE93F05" w14:textId="77777777" w:rsidR="00E97355" w:rsidRPr="004655C1" w:rsidRDefault="00E97355" w:rsidP="000A7D28">
            <w:pPr>
              <w:rPr>
                <w:sz w:val="24"/>
                <w:szCs w:val="24"/>
              </w:rPr>
            </w:pPr>
          </w:p>
        </w:tc>
      </w:tr>
    </w:tbl>
    <w:p w14:paraId="0E0E1D46" w14:textId="77777777" w:rsidR="00E97355" w:rsidRPr="004655C1" w:rsidRDefault="00E97355" w:rsidP="00E97355">
      <w:pPr>
        <w:rPr>
          <w:sz w:val="24"/>
          <w:szCs w:val="24"/>
        </w:rPr>
      </w:pPr>
    </w:p>
    <w:p w14:paraId="682EDE36" w14:textId="77777777" w:rsidR="004655C1" w:rsidRPr="004655C1" w:rsidRDefault="004655C1" w:rsidP="00D616E6">
      <w:pPr>
        <w:rPr>
          <w:sz w:val="24"/>
          <w:szCs w:val="24"/>
        </w:rPr>
      </w:pPr>
    </w:p>
    <w:sectPr w:rsidR="004655C1" w:rsidRPr="004655C1" w:rsidSect="00323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FD6"/>
    <w:multiLevelType w:val="hybridMultilevel"/>
    <w:tmpl w:val="B16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3296"/>
    <w:multiLevelType w:val="hybridMultilevel"/>
    <w:tmpl w:val="9878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CF4"/>
    <w:multiLevelType w:val="hybridMultilevel"/>
    <w:tmpl w:val="23E6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7019"/>
    <w:multiLevelType w:val="hybridMultilevel"/>
    <w:tmpl w:val="18583618"/>
    <w:lvl w:ilvl="0" w:tplc="84288A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F6"/>
    <w:rsid w:val="00064ECF"/>
    <w:rsid w:val="000B1AB2"/>
    <w:rsid w:val="001561A1"/>
    <w:rsid w:val="001C3707"/>
    <w:rsid w:val="00280C45"/>
    <w:rsid w:val="00323263"/>
    <w:rsid w:val="00382EE5"/>
    <w:rsid w:val="003F1025"/>
    <w:rsid w:val="003F1D63"/>
    <w:rsid w:val="004655C1"/>
    <w:rsid w:val="00554478"/>
    <w:rsid w:val="005F17F6"/>
    <w:rsid w:val="00777BBB"/>
    <w:rsid w:val="00875BD3"/>
    <w:rsid w:val="008B226D"/>
    <w:rsid w:val="008B3BBC"/>
    <w:rsid w:val="009022BD"/>
    <w:rsid w:val="0092611B"/>
    <w:rsid w:val="00965D4F"/>
    <w:rsid w:val="00B672CE"/>
    <w:rsid w:val="00C12EAC"/>
    <w:rsid w:val="00D56AB9"/>
    <w:rsid w:val="00D616E6"/>
    <w:rsid w:val="00D61865"/>
    <w:rsid w:val="00E03C42"/>
    <w:rsid w:val="00E40FF7"/>
    <w:rsid w:val="00E97355"/>
    <w:rsid w:val="00F6656D"/>
    <w:rsid w:val="00F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691A"/>
  <w15:docId w15:val="{36FA599C-B831-46C2-B680-7ACF1AB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C1"/>
  </w:style>
  <w:style w:type="table" w:styleId="TableGrid">
    <w:name w:val="Table Grid"/>
    <w:basedOn w:val="TableNormal"/>
    <w:uiPriority w:val="39"/>
    <w:rsid w:val="0046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5D6-2802-4AC5-BC32-2C581070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Zervos</dc:creator>
  <cp:lastModifiedBy>Windows User</cp:lastModifiedBy>
  <cp:revision>4</cp:revision>
  <dcterms:created xsi:type="dcterms:W3CDTF">2019-02-11T20:55:00Z</dcterms:created>
  <dcterms:modified xsi:type="dcterms:W3CDTF">2019-03-19T14:30:00Z</dcterms:modified>
</cp:coreProperties>
</file>