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5F884" w14:textId="2BD052BF" w:rsidR="00E601CC" w:rsidRPr="00E601CC" w:rsidRDefault="00E601CC" w:rsidP="00E601CC">
      <w:pPr>
        <w:jc w:val="center"/>
        <w:rPr>
          <w:rFonts w:ascii="Times New Roman" w:hAnsi="Times New Roman" w:cs="Times New Roman"/>
          <w:b/>
          <w:bCs/>
          <w:sz w:val="24"/>
          <w:szCs w:val="24"/>
        </w:rPr>
      </w:pPr>
      <w:r w:rsidRPr="00E601CC">
        <w:rPr>
          <w:rFonts w:ascii="Times New Roman" w:hAnsi="Times New Roman" w:cs="Times New Roman"/>
          <w:b/>
          <w:bCs/>
          <w:sz w:val="24"/>
          <w:szCs w:val="24"/>
        </w:rPr>
        <w:t xml:space="preserve">Fatal Occupational Injuries </w:t>
      </w:r>
      <w:proofErr w:type="gramStart"/>
      <w:r w:rsidRPr="00E601CC">
        <w:rPr>
          <w:rFonts w:ascii="Times New Roman" w:hAnsi="Times New Roman" w:cs="Times New Roman"/>
          <w:b/>
          <w:bCs/>
          <w:sz w:val="24"/>
          <w:szCs w:val="24"/>
        </w:rPr>
        <w:t>In</w:t>
      </w:r>
      <w:proofErr w:type="gramEnd"/>
      <w:r w:rsidRPr="00E601CC">
        <w:rPr>
          <w:rFonts w:ascii="Times New Roman" w:hAnsi="Times New Roman" w:cs="Times New Roman"/>
          <w:b/>
          <w:bCs/>
          <w:sz w:val="24"/>
          <w:szCs w:val="24"/>
        </w:rPr>
        <w:t xml:space="preserve"> Maryland – 202</w:t>
      </w:r>
      <w:r>
        <w:rPr>
          <w:rFonts w:ascii="Times New Roman" w:hAnsi="Times New Roman" w:cs="Times New Roman"/>
          <w:b/>
          <w:bCs/>
          <w:sz w:val="24"/>
          <w:szCs w:val="24"/>
        </w:rPr>
        <w:t>3</w:t>
      </w:r>
      <w:r w:rsidRPr="00E601CC">
        <w:rPr>
          <w:rFonts w:ascii="Times New Roman" w:hAnsi="Times New Roman" w:cs="Times New Roman"/>
          <w:b/>
          <w:bCs/>
          <w:sz w:val="24"/>
          <w:szCs w:val="24"/>
        </w:rPr>
        <w:t xml:space="preserve"> - Research and Statistics - Maryland Occupational Safety and Health (MOSH)</w:t>
      </w:r>
    </w:p>
    <w:p w14:paraId="0117F80B" w14:textId="2A6F5493" w:rsidR="00E601CC" w:rsidRDefault="00E601CC" w:rsidP="00E601CC">
      <w:pPr>
        <w:jc w:val="center"/>
        <w:rPr>
          <w:rFonts w:ascii="Times New Roman" w:hAnsi="Times New Roman" w:cs="Times New Roman"/>
          <w:sz w:val="24"/>
          <w:szCs w:val="24"/>
        </w:rPr>
      </w:pPr>
      <w:r w:rsidRPr="00E601CC">
        <w:rPr>
          <w:rFonts w:ascii="Times New Roman" w:hAnsi="Times New Roman" w:cs="Times New Roman"/>
          <w:b/>
          <w:bCs/>
          <w:sz w:val="24"/>
          <w:szCs w:val="24"/>
        </w:rPr>
        <w:t xml:space="preserve">For </w:t>
      </w:r>
      <w:r w:rsidR="005458D1" w:rsidRPr="00E601CC">
        <w:rPr>
          <w:rFonts w:ascii="Times New Roman" w:hAnsi="Times New Roman" w:cs="Times New Roman"/>
          <w:b/>
          <w:bCs/>
          <w:sz w:val="24"/>
          <w:szCs w:val="24"/>
        </w:rPr>
        <w:t>non-fatal</w:t>
      </w:r>
      <w:r w:rsidRPr="00E601CC">
        <w:rPr>
          <w:rFonts w:ascii="Times New Roman" w:hAnsi="Times New Roman" w:cs="Times New Roman"/>
          <w:b/>
          <w:bCs/>
          <w:sz w:val="24"/>
          <w:szCs w:val="24"/>
        </w:rPr>
        <w:t xml:space="preserve"> injury data in MD, please visit: </w:t>
      </w:r>
      <w:hyperlink r:id="rId6" w:history="1">
        <w:r w:rsidRPr="00E601CC">
          <w:rPr>
            <w:rStyle w:val="Hyperlink"/>
            <w:rFonts w:ascii="Times New Roman" w:hAnsi="Times New Roman" w:cs="Times New Roman"/>
            <w:b/>
            <w:bCs/>
            <w:sz w:val="24"/>
            <w:szCs w:val="24"/>
          </w:rPr>
          <w:t>U.S. Bureau of Labor Statistics</w:t>
        </w:r>
      </w:hyperlink>
    </w:p>
    <w:p w14:paraId="68EB5698" w14:textId="712D1622" w:rsidR="00946E34" w:rsidRDefault="00946E34" w:rsidP="00946E34">
      <w:pPr>
        <w:rPr>
          <w:rFonts w:ascii="Times New Roman" w:eastAsia="Times New Roman" w:hAnsi="Times New Roman" w:cs="Times New Roman"/>
          <w:sz w:val="24"/>
          <w:szCs w:val="24"/>
        </w:rPr>
      </w:pPr>
      <w:r>
        <w:rPr>
          <w:rFonts w:ascii="Times New Roman" w:hAnsi="Times New Roman" w:cs="Times New Roman"/>
          <w:sz w:val="24"/>
          <w:szCs w:val="24"/>
        </w:rPr>
        <w:t xml:space="preserve">Fatal work injuries totaled 69 in 2023 for Maryland according to the latest fatality census results from the Bureau of Labor Statistics’ Census of Fatal Occupational Injuries (CFOI). The number of work-related fatalities for 2023 decreased from the 80 total fatalities in the previous year, 2022. </w:t>
      </w:r>
      <w:r>
        <w:rPr>
          <w:rFonts w:ascii="Times New Roman" w:eastAsia="Times New Roman" w:hAnsi="Times New Roman" w:cs="Times New Roman"/>
          <w:sz w:val="24"/>
          <w:szCs w:val="24"/>
        </w:rPr>
        <w:t xml:space="preserve">Since 1992, fatal occupational injuries in Maryland have ranged from a high of 106, reported in 2006, to a low of 59, reported in 2020. Certain fatal events are not covered under the Maryland Occupational Safety and Health agency’s investigative oversight including cases of workplace homicide and suicide; certain transportation events, such as aircraft, rail, and highway crashes; and fatalities to the self-employed. The Census of Fatal Occupational Injuries does include these cases, therefore the work fatality count reported on CFOI is significantly higher. </w:t>
      </w:r>
    </w:p>
    <w:p w14:paraId="2765F0F8" w14:textId="7D025D79" w:rsidR="00946E34" w:rsidRDefault="00946E34" w:rsidP="00946E34">
      <w:pPr>
        <w:pStyle w:val="HTMLPreformatted"/>
        <w:shd w:val="clear" w:color="auto" w:fill="FFFFFF"/>
        <w:spacing w:line="255"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Nationwide, a total of </w:t>
      </w:r>
      <w:r w:rsidR="0086613B">
        <w:rPr>
          <w:rFonts w:ascii="Times New Roman" w:eastAsia="Times New Roman" w:hAnsi="Times New Roman" w:cs="Times New Roman"/>
          <w:sz w:val="24"/>
          <w:szCs w:val="24"/>
        </w:rPr>
        <w:t xml:space="preserve">5,283 </w:t>
      </w:r>
      <w:r>
        <w:rPr>
          <w:rFonts w:ascii="Times New Roman" w:eastAsia="Times New Roman" w:hAnsi="Times New Roman" w:cs="Times New Roman"/>
          <w:sz w:val="24"/>
          <w:szCs w:val="24"/>
        </w:rPr>
        <w:t>fatal work injuries were recorded in 202</w:t>
      </w:r>
      <w:r w:rsidR="0086613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a </w:t>
      </w:r>
      <w:r w:rsidR="0086613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.7-percent </w:t>
      </w:r>
      <w:r w:rsidR="0086613B">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crease from </w:t>
      </w:r>
      <w:r w:rsidR="0086613B">
        <w:rPr>
          <w:rFonts w:ascii="Times New Roman" w:eastAsia="Times New Roman" w:hAnsi="Times New Roman" w:cs="Times New Roman"/>
          <w:sz w:val="24"/>
          <w:szCs w:val="24"/>
        </w:rPr>
        <w:t>5,486</w:t>
      </w:r>
      <w:r>
        <w:rPr>
          <w:rFonts w:ascii="Times New Roman" w:eastAsia="Times New Roman" w:hAnsi="Times New Roman" w:cs="Times New Roman"/>
          <w:sz w:val="24"/>
          <w:szCs w:val="24"/>
        </w:rPr>
        <w:t xml:space="preserve"> in 202</w:t>
      </w:r>
      <w:r w:rsidR="0086613B">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p>
    <w:p w14:paraId="2DD83CB2" w14:textId="5B9D4397" w:rsidR="00A0629D" w:rsidRDefault="00A0629D" w:rsidP="00946E34">
      <w:pPr>
        <w:pStyle w:val="HTMLPreformatted"/>
        <w:shd w:val="clear" w:color="auto" w:fill="FFFFFF"/>
        <w:spacing w:line="255" w:lineRule="atLeast"/>
        <w:rPr>
          <w:rFonts w:ascii="Times New Roman" w:eastAsia="Times New Roman" w:hAnsi="Times New Roman" w:cs="Times New Roman"/>
          <w:sz w:val="24"/>
          <w:szCs w:val="24"/>
        </w:rPr>
      </w:pPr>
    </w:p>
    <w:p w14:paraId="7B363DC0" w14:textId="44D1B20D" w:rsidR="00564EBE" w:rsidRDefault="00A0629D" w:rsidP="00946E34">
      <w:pPr>
        <w:pStyle w:val="HTMLPreformatted"/>
        <w:shd w:val="clear" w:color="auto" w:fill="FFFFFF"/>
        <w:spacing w:line="255" w:lineRule="atLeast"/>
        <w:rPr>
          <w:rFonts w:ascii="Times New Roman" w:eastAsia="Times New Roman" w:hAnsi="Times New Roman" w:cs="Times New Roman"/>
          <w:sz w:val="24"/>
          <w:szCs w:val="24"/>
        </w:rPr>
      </w:pPr>
      <w:r>
        <w:rPr>
          <w:noProof/>
        </w:rPr>
        <w:drawing>
          <wp:inline distT="0" distB="0" distL="0" distR="0" wp14:anchorId="04B547C6" wp14:editId="7F4E0944">
            <wp:extent cx="5943600" cy="2865120"/>
            <wp:effectExtent l="0" t="0" r="0" b="11430"/>
            <wp:docPr id="2" name="Char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BA87CC8" w14:textId="49C7D940"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12E648DD" w14:textId="27860D3E"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5CB6DDE3" w14:textId="6E6B298D"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2025E921" w14:textId="696D67D5"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25355635" w14:textId="0A390473"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486C7769" w14:textId="042DC380"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6AB1BC7F" w14:textId="3F993A6A"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7462CC05" w14:textId="0D39E204"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00A07339" w14:textId="2670F4ED"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5670E9CF" w14:textId="44C69B01"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12354DA2" w14:textId="77777777"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63C28802" w14:textId="38E89AB4" w:rsidR="00F77361" w:rsidRDefault="00F77361" w:rsidP="00946E34">
      <w:pPr>
        <w:pStyle w:val="HTMLPreformatted"/>
        <w:shd w:val="clear" w:color="auto" w:fill="FFFFFF"/>
        <w:spacing w:line="255" w:lineRule="atLeast"/>
        <w:rPr>
          <w:rFonts w:ascii="Times New Roman" w:eastAsia="Times New Roman" w:hAnsi="Times New Roman" w:cs="Times New Roman"/>
          <w:sz w:val="24"/>
          <w:szCs w:val="24"/>
        </w:rPr>
      </w:pPr>
    </w:p>
    <w:p w14:paraId="5A3FC5F0" w14:textId="0DFDFB1A" w:rsidR="00235D29" w:rsidRPr="007308F5" w:rsidRDefault="00235D29" w:rsidP="00235D29">
      <w:pPr>
        <w:pStyle w:val="Caption"/>
        <w:keepNext/>
        <w:rPr>
          <w:rFonts w:ascii="Times New Roman" w:hAnsi="Times New Roman" w:cs="Times New Roman"/>
          <w:sz w:val="24"/>
          <w:szCs w:val="24"/>
        </w:rPr>
      </w:pPr>
      <w:r w:rsidRPr="007308F5">
        <w:rPr>
          <w:rFonts w:ascii="Times New Roman" w:hAnsi="Times New Roman" w:cs="Times New Roman"/>
          <w:sz w:val="24"/>
          <w:szCs w:val="24"/>
        </w:rPr>
        <w:lastRenderedPageBreak/>
        <w:t xml:space="preserve">Table </w:t>
      </w:r>
      <w:r w:rsidRPr="007308F5">
        <w:rPr>
          <w:rFonts w:ascii="Times New Roman" w:hAnsi="Times New Roman" w:cs="Times New Roman"/>
          <w:sz w:val="24"/>
          <w:szCs w:val="24"/>
        </w:rPr>
        <w:fldChar w:fldCharType="begin"/>
      </w:r>
      <w:r w:rsidRPr="007308F5">
        <w:rPr>
          <w:rFonts w:ascii="Times New Roman" w:hAnsi="Times New Roman" w:cs="Times New Roman"/>
          <w:sz w:val="24"/>
          <w:szCs w:val="24"/>
        </w:rPr>
        <w:instrText xml:space="preserve"> SEQ Table \* ARABIC </w:instrText>
      </w:r>
      <w:r w:rsidRPr="007308F5">
        <w:rPr>
          <w:rFonts w:ascii="Times New Roman" w:hAnsi="Times New Roman" w:cs="Times New Roman"/>
          <w:sz w:val="24"/>
          <w:szCs w:val="24"/>
        </w:rPr>
        <w:fldChar w:fldCharType="separate"/>
      </w:r>
      <w:r w:rsidR="007308F5">
        <w:rPr>
          <w:rFonts w:ascii="Times New Roman" w:hAnsi="Times New Roman" w:cs="Times New Roman"/>
          <w:noProof/>
          <w:sz w:val="24"/>
          <w:szCs w:val="24"/>
        </w:rPr>
        <w:t>1</w:t>
      </w:r>
      <w:r w:rsidRPr="007308F5">
        <w:rPr>
          <w:rFonts w:ascii="Times New Roman" w:hAnsi="Times New Roman" w:cs="Times New Roman"/>
          <w:sz w:val="24"/>
          <w:szCs w:val="24"/>
        </w:rPr>
        <w:fldChar w:fldCharType="end"/>
      </w:r>
      <w:r w:rsidRPr="007308F5">
        <w:rPr>
          <w:rFonts w:ascii="Times New Roman" w:hAnsi="Times New Roman" w:cs="Times New Roman"/>
          <w:sz w:val="24"/>
          <w:szCs w:val="24"/>
        </w:rPr>
        <w:t>- Total Fatal Occupational Injuries, Maryland, 2006 - 2023</w:t>
      </w:r>
    </w:p>
    <w:tbl>
      <w:tblPr>
        <w:tblStyle w:val="TableGrid"/>
        <w:tblW w:w="3415" w:type="dxa"/>
        <w:tblLook w:val="04A0" w:firstRow="1" w:lastRow="0" w:firstColumn="1" w:lastColumn="0" w:noHBand="0" w:noVBand="1"/>
      </w:tblPr>
      <w:tblGrid>
        <w:gridCol w:w="1160"/>
        <w:gridCol w:w="2255"/>
      </w:tblGrid>
      <w:tr w:rsidR="00F77361" w:rsidRPr="00F77361" w14:paraId="48DBCF2E" w14:textId="77777777" w:rsidTr="000A5D61">
        <w:trPr>
          <w:trHeight w:val="420"/>
        </w:trPr>
        <w:tc>
          <w:tcPr>
            <w:tcW w:w="1160" w:type="dxa"/>
            <w:hideMark/>
          </w:tcPr>
          <w:p w14:paraId="23FA6116" w14:textId="77777777" w:rsidR="00F77361" w:rsidRPr="00235D29" w:rsidRDefault="00F77361" w:rsidP="000A5D61">
            <w:pPr>
              <w:jc w:val="center"/>
              <w:rPr>
                <w:rFonts w:eastAsia="Times New Roman" w:cs="Tahoma"/>
                <w:b/>
                <w:bCs/>
                <w:i/>
                <w:iCs/>
                <w:color w:val="000000"/>
                <w:u w:val="single"/>
              </w:rPr>
            </w:pPr>
            <w:r w:rsidRPr="00235D29">
              <w:rPr>
                <w:rFonts w:eastAsia="Times New Roman" w:cs="Tahoma"/>
                <w:b/>
                <w:bCs/>
                <w:i/>
                <w:iCs/>
                <w:color w:val="000000"/>
                <w:u w:val="single"/>
              </w:rPr>
              <w:t>Year</w:t>
            </w:r>
          </w:p>
        </w:tc>
        <w:tc>
          <w:tcPr>
            <w:tcW w:w="2255" w:type="dxa"/>
            <w:hideMark/>
          </w:tcPr>
          <w:p w14:paraId="576B4250" w14:textId="77777777" w:rsidR="00F77361" w:rsidRPr="00235D29" w:rsidRDefault="00F77361" w:rsidP="000A5D61">
            <w:pPr>
              <w:jc w:val="center"/>
              <w:rPr>
                <w:rFonts w:eastAsia="Times New Roman" w:cs="Tahoma"/>
                <w:b/>
                <w:bCs/>
                <w:i/>
                <w:iCs/>
                <w:color w:val="000000"/>
                <w:u w:val="single"/>
              </w:rPr>
            </w:pPr>
            <w:r w:rsidRPr="00235D29">
              <w:rPr>
                <w:rFonts w:eastAsia="Times New Roman" w:cs="Tahoma"/>
                <w:b/>
                <w:bCs/>
                <w:i/>
                <w:iCs/>
                <w:color w:val="000000"/>
                <w:u w:val="single"/>
              </w:rPr>
              <w:t>Total Fatalities</w:t>
            </w:r>
          </w:p>
        </w:tc>
      </w:tr>
      <w:tr w:rsidR="00F77361" w:rsidRPr="00F77361" w14:paraId="34369373" w14:textId="77777777" w:rsidTr="000A5D61">
        <w:trPr>
          <w:trHeight w:val="300"/>
        </w:trPr>
        <w:tc>
          <w:tcPr>
            <w:tcW w:w="1160" w:type="dxa"/>
            <w:hideMark/>
          </w:tcPr>
          <w:p w14:paraId="33A7E291"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2006</w:t>
            </w:r>
          </w:p>
        </w:tc>
        <w:tc>
          <w:tcPr>
            <w:tcW w:w="2255" w:type="dxa"/>
            <w:hideMark/>
          </w:tcPr>
          <w:p w14:paraId="4AAB99C2"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106</w:t>
            </w:r>
          </w:p>
        </w:tc>
      </w:tr>
      <w:tr w:rsidR="00F77361" w:rsidRPr="00F77361" w14:paraId="702BDB40" w14:textId="77777777" w:rsidTr="000A5D61">
        <w:trPr>
          <w:trHeight w:val="300"/>
        </w:trPr>
        <w:tc>
          <w:tcPr>
            <w:tcW w:w="1160" w:type="dxa"/>
            <w:hideMark/>
          </w:tcPr>
          <w:p w14:paraId="2CC372CD"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2007</w:t>
            </w:r>
          </w:p>
        </w:tc>
        <w:tc>
          <w:tcPr>
            <w:tcW w:w="2255" w:type="dxa"/>
            <w:hideMark/>
          </w:tcPr>
          <w:p w14:paraId="6117FC03"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82</w:t>
            </w:r>
          </w:p>
        </w:tc>
      </w:tr>
      <w:tr w:rsidR="00F77361" w:rsidRPr="00F77361" w14:paraId="22ECFE68" w14:textId="77777777" w:rsidTr="000A5D61">
        <w:trPr>
          <w:trHeight w:val="300"/>
        </w:trPr>
        <w:tc>
          <w:tcPr>
            <w:tcW w:w="1160" w:type="dxa"/>
            <w:hideMark/>
          </w:tcPr>
          <w:p w14:paraId="5D87101F"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2008</w:t>
            </w:r>
          </w:p>
        </w:tc>
        <w:tc>
          <w:tcPr>
            <w:tcW w:w="2255" w:type="dxa"/>
            <w:hideMark/>
          </w:tcPr>
          <w:p w14:paraId="2182686E"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60</w:t>
            </w:r>
          </w:p>
        </w:tc>
      </w:tr>
      <w:tr w:rsidR="00F77361" w:rsidRPr="00F77361" w14:paraId="0A26B3CC" w14:textId="77777777" w:rsidTr="000A5D61">
        <w:trPr>
          <w:trHeight w:val="300"/>
        </w:trPr>
        <w:tc>
          <w:tcPr>
            <w:tcW w:w="1160" w:type="dxa"/>
            <w:hideMark/>
          </w:tcPr>
          <w:p w14:paraId="78E8A954"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2009</w:t>
            </w:r>
          </w:p>
        </w:tc>
        <w:tc>
          <w:tcPr>
            <w:tcW w:w="2255" w:type="dxa"/>
            <w:hideMark/>
          </w:tcPr>
          <w:p w14:paraId="10B4FBA5"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65</w:t>
            </w:r>
          </w:p>
        </w:tc>
      </w:tr>
      <w:tr w:rsidR="00F77361" w:rsidRPr="00F77361" w14:paraId="2854A0F4" w14:textId="77777777" w:rsidTr="000A5D61">
        <w:trPr>
          <w:trHeight w:val="300"/>
        </w:trPr>
        <w:tc>
          <w:tcPr>
            <w:tcW w:w="1160" w:type="dxa"/>
            <w:hideMark/>
          </w:tcPr>
          <w:p w14:paraId="09CC5E32"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2010</w:t>
            </w:r>
          </w:p>
        </w:tc>
        <w:tc>
          <w:tcPr>
            <w:tcW w:w="2255" w:type="dxa"/>
            <w:hideMark/>
          </w:tcPr>
          <w:p w14:paraId="004669C7"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71</w:t>
            </w:r>
          </w:p>
        </w:tc>
      </w:tr>
      <w:tr w:rsidR="00F77361" w:rsidRPr="00F77361" w14:paraId="13B8560F" w14:textId="77777777" w:rsidTr="000A5D61">
        <w:trPr>
          <w:trHeight w:val="300"/>
        </w:trPr>
        <w:tc>
          <w:tcPr>
            <w:tcW w:w="1160" w:type="dxa"/>
            <w:hideMark/>
          </w:tcPr>
          <w:p w14:paraId="51AF8A2E"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2011</w:t>
            </w:r>
          </w:p>
        </w:tc>
        <w:tc>
          <w:tcPr>
            <w:tcW w:w="2255" w:type="dxa"/>
            <w:hideMark/>
          </w:tcPr>
          <w:p w14:paraId="5654F142"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71</w:t>
            </w:r>
          </w:p>
        </w:tc>
      </w:tr>
      <w:tr w:rsidR="00F77361" w:rsidRPr="00F77361" w14:paraId="1833F81A" w14:textId="77777777" w:rsidTr="000A5D61">
        <w:trPr>
          <w:trHeight w:val="300"/>
        </w:trPr>
        <w:tc>
          <w:tcPr>
            <w:tcW w:w="1160" w:type="dxa"/>
            <w:hideMark/>
          </w:tcPr>
          <w:p w14:paraId="21CA3233"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2012</w:t>
            </w:r>
          </w:p>
        </w:tc>
        <w:tc>
          <w:tcPr>
            <w:tcW w:w="2255" w:type="dxa"/>
            <w:hideMark/>
          </w:tcPr>
          <w:p w14:paraId="64F4A392"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72</w:t>
            </w:r>
          </w:p>
        </w:tc>
      </w:tr>
      <w:tr w:rsidR="00F77361" w:rsidRPr="00F77361" w14:paraId="5E59BDD3" w14:textId="77777777" w:rsidTr="000A5D61">
        <w:trPr>
          <w:trHeight w:val="300"/>
        </w:trPr>
        <w:tc>
          <w:tcPr>
            <w:tcW w:w="1160" w:type="dxa"/>
            <w:hideMark/>
          </w:tcPr>
          <w:p w14:paraId="1CC1ABAE"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2013</w:t>
            </w:r>
          </w:p>
        </w:tc>
        <w:tc>
          <w:tcPr>
            <w:tcW w:w="2255" w:type="dxa"/>
            <w:hideMark/>
          </w:tcPr>
          <w:p w14:paraId="4CE3E875"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79</w:t>
            </w:r>
          </w:p>
        </w:tc>
      </w:tr>
      <w:tr w:rsidR="00F77361" w:rsidRPr="00F77361" w14:paraId="1B0BC40A" w14:textId="77777777" w:rsidTr="000A5D61">
        <w:trPr>
          <w:trHeight w:val="300"/>
        </w:trPr>
        <w:tc>
          <w:tcPr>
            <w:tcW w:w="1160" w:type="dxa"/>
            <w:hideMark/>
          </w:tcPr>
          <w:p w14:paraId="33D42204"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2014</w:t>
            </w:r>
          </w:p>
        </w:tc>
        <w:tc>
          <w:tcPr>
            <w:tcW w:w="2255" w:type="dxa"/>
            <w:hideMark/>
          </w:tcPr>
          <w:p w14:paraId="6C29CF8A"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74</w:t>
            </w:r>
          </w:p>
        </w:tc>
      </w:tr>
      <w:tr w:rsidR="00F77361" w:rsidRPr="00F77361" w14:paraId="5DC752FF" w14:textId="77777777" w:rsidTr="000A5D61">
        <w:trPr>
          <w:trHeight w:val="300"/>
        </w:trPr>
        <w:tc>
          <w:tcPr>
            <w:tcW w:w="1160" w:type="dxa"/>
            <w:hideMark/>
          </w:tcPr>
          <w:p w14:paraId="2D6C847B"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2015</w:t>
            </w:r>
          </w:p>
        </w:tc>
        <w:tc>
          <w:tcPr>
            <w:tcW w:w="2255" w:type="dxa"/>
            <w:hideMark/>
          </w:tcPr>
          <w:p w14:paraId="37233C26"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69</w:t>
            </w:r>
          </w:p>
        </w:tc>
      </w:tr>
      <w:tr w:rsidR="00F77361" w:rsidRPr="00F77361" w14:paraId="140E6D41" w14:textId="77777777" w:rsidTr="000A5D61">
        <w:trPr>
          <w:trHeight w:val="300"/>
        </w:trPr>
        <w:tc>
          <w:tcPr>
            <w:tcW w:w="1160" w:type="dxa"/>
            <w:hideMark/>
          </w:tcPr>
          <w:p w14:paraId="42C7EEA2"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2016</w:t>
            </w:r>
          </w:p>
        </w:tc>
        <w:tc>
          <w:tcPr>
            <w:tcW w:w="2255" w:type="dxa"/>
            <w:hideMark/>
          </w:tcPr>
          <w:p w14:paraId="0B1A8935"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92</w:t>
            </w:r>
          </w:p>
        </w:tc>
      </w:tr>
      <w:tr w:rsidR="00F77361" w:rsidRPr="00F77361" w14:paraId="01331DC9" w14:textId="77777777" w:rsidTr="000A5D61">
        <w:trPr>
          <w:trHeight w:val="300"/>
        </w:trPr>
        <w:tc>
          <w:tcPr>
            <w:tcW w:w="1160" w:type="dxa"/>
            <w:hideMark/>
          </w:tcPr>
          <w:p w14:paraId="08821688"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2017</w:t>
            </w:r>
          </w:p>
        </w:tc>
        <w:tc>
          <w:tcPr>
            <w:tcW w:w="2255" w:type="dxa"/>
            <w:hideMark/>
          </w:tcPr>
          <w:p w14:paraId="01A71090"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87</w:t>
            </w:r>
          </w:p>
        </w:tc>
      </w:tr>
      <w:tr w:rsidR="00F77361" w:rsidRPr="00F77361" w14:paraId="63D2B7E9" w14:textId="77777777" w:rsidTr="000A5D61">
        <w:trPr>
          <w:trHeight w:val="300"/>
        </w:trPr>
        <w:tc>
          <w:tcPr>
            <w:tcW w:w="1160" w:type="dxa"/>
            <w:hideMark/>
          </w:tcPr>
          <w:p w14:paraId="210A67B6"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2018</w:t>
            </w:r>
          </w:p>
        </w:tc>
        <w:tc>
          <w:tcPr>
            <w:tcW w:w="2255" w:type="dxa"/>
            <w:hideMark/>
          </w:tcPr>
          <w:p w14:paraId="27397F3B"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97</w:t>
            </w:r>
          </w:p>
        </w:tc>
      </w:tr>
      <w:tr w:rsidR="00F77361" w:rsidRPr="00F77361" w14:paraId="1C7E0C4A" w14:textId="77777777" w:rsidTr="000A5D61">
        <w:trPr>
          <w:trHeight w:val="300"/>
        </w:trPr>
        <w:tc>
          <w:tcPr>
            <w:tcW w:w="1160" w:type="dxa"/>
            <w:hideMark/>
          </w:tcPr>
          <w:p w14:paraId="25E6540E"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2019</w:t>
            </w:r>
          </w:p>
        </w:tc>
        <w:tc>
          <w:tcPr>
            <w:tcW w:w="2255" w:type="dxa"/>
            <w:hideMark/>
          </w:tcPr>
          <w:p w14:paraId="1033562F"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78</w:t>
            </w:r>
          </w:p>
        </w:tc>
      </w:tr>
      <w:tr w:rsidR="00F77361" w:rsidRPr="00F77361" w14:paraId="4AC21CEF" w14:textId="77777777" w:rsidTr="000A5D61">
        <w:trPr>
          <w:trHeight w:val="300"/>
        </w:trPr>
        <w:tc>
          <w:tcPr>
            <w:tcW w:w="1160" w:type="dxa"/>
            <w:hideMark/>
          </w:tcPr>
          <w:p w14:paraId="2AAA23BD"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2020</w:t>
            </w:r>
          </w:p>
        </w:tc>
        <w:tc>
          <w:tcPr>
            <w:tcW w:w="2255" w:type="dxa"/>
            <w:hideMark/>
          </w:tcPr>
          <w:p w14:paraId="5C29CD9E"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59</w:t>
            </w:r>
          </w:p>
        </w:tc>
      </w:tr>
      <w:tr w:rsidR="00F77361" w:rsidRPr="00F77361" w14:paraId="5999E273" w14:textId="77777777" w:rsidTr="000A5D61">
        <w:trPr>
          <w:trHeight w:val="300"/>
        </w:trPr>
        <w:tc>
          <w:tcPr>
            <w:tcW w:w="1160" w:type="dxa"/>
            <w:noWrap/>
            <w:hideMark/>
          </w:tcPr>
          <w:p w14:paraId="13DCE44E"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2021</w:t>
            </w:r>
          </w:p>
        </w:tc>
        <w:tc>
          <w:tcPr>
            <w:tcW w:w="2255" w:type="dxa"/>
            <w:noWrap/>
            <w:hideMark/>
          </w:tcPr>
          <w:p w14:paraId="1C2F31E5"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80</w:t>
            </w:r>
          </w:p>
        </w:tc>
      </w:tr>
      <w:tr w:rsidR="00F77361" w:rsidRPr="00F77361" w14:paraId="78B3196E" w14:textId="77777777" w:rsidTr="000A5D61">
        <w:trPr>
          <w:trHeight w:val="300"/>
        </w:trPr>
        <w:tc>
          <w:tcPr>
            <w:tcW w:w="1160" w:type="dxa"/>
            <w:noWrap/>
            <w:hideMark/>
          </w:tcPr>
          <w:p w14:paraId="7F9141D2"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2022</w:t>
            </w:r>
          </w:p>
        </w:tc>
        <w:tc>
          <w:tcPr>
            <w:tcW w:w="2255" w:type="dxa"/>
            <w:noWrap/>
            <w:hideMark/>
          </w:tcPr>
          <w:p w14:paraId="029712A6"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80</w:t>
            </w:r>
          </w:p>
        </w:tc>
      </w:tr>
      <w:tr w:rsidR="00F77361" w:rsidRPr="00F77361" w14:paraId="50F43CEA" w14:textId="77777777" w:rsidTr="000A5D61">
        <w:trPr>
          <w:trHeight w:val="300"/>
        </w:trPr>
        <w:tc>
          <w:tcPr>
            <w:tcW w:w="1160" w:type="dxa"/>
            <w:noWrap/>
            <w:hideMark/>
          </w:tcPr>
          <w:p w14:paraId="09E39AD6"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2023</w:t>
            </w:r>
          </w:p>
        </w:tc>
        <w:tc>
          <w:tcPr>
            <w:tcW w:w="2255" w:type="dxa"/>
            <w:noWrap/>
            <w:hideMark/>
          </w:tcPr>
          <w:p w14:paraId="7BB7B052" w14:textId="77777777" w:rsidR="00F77361" w:rsidRPr="00F77361" w:rsidRDefault="00F77361" w:rsidP="000A5D61">
            <w:pPr>
              <w:jc w:val="center"/>
              <w:rPr>
                <w:rFonts w:eastAsia="Times New Roman" w:cs="Times New Roman"/>
                <w:color w:val="000000"/>
              </w:rPr>
            </w:pPr>
            <w:r w:rsidRPr="00F77361">
              <w:rPr>
                <w:rFonts w:eastAsia="Times New Roman" w:cs="Times New Roman"/>
                <w:color w:val="000000"/>
              </w:rPr>
              <w:t>69</w:t>
            </w:r>
          </w:p>
        </w:tc>
      </w:tr>
    </w:tbl>
    <w:p w14:paraId="391D5ACD" w14:textId="5BF104E0" w:rsidR="00946E34" w:rsidRDefault="00A0629D">
      <w:pPr>
        <w:rPr>
          <w:rFonts w:ascii="Times New Roman" w:hAnsi="Times New Roman" w:cs="Times New Roman"/>
          <w:sz w:val="20"/>
        </w:rPr>
      </w:pPr>
      <w:r w:rsidRPr="00AF3BDB">
        <w:rPr>
          <w:rFonts w:ascii="Times New Roman" w:hAnsi="Times New Roman" w:cs="Times New Roman"/>
          <w:sz w:val="20"/>
        </w:rPr>
        <w:t>Source: Maryland Division of Labor and Industry in cooperation with the U.S. Bureau of Labor Statistics, CFOI Program, December 202</w:t>
      </w:r>
      <w:r>
        <w:rPr>
          <w:rFonts w:ascii="Times New Roman" w:hAnsi="Times New Roman" w:cs="Times New Roman"/>
          <w:sz w:val="20"/>
        </w:rPr>
        <w:t>4</w:t>
      </w:r>
      <w:r w:rsidRPr="00AF3BDB">
        <w:rPr>
          <w:rFonts w:ascii="Times New Roman" w:hAnsi="Times New Roman" w:cs="Times New Roman"/>
          <w:sz w:val="20"/>
        </w:rPr>
        <w:t xml:space="preserve">. </w:t>
      </w:r>
    </w:p>
    <w:p w14:paraId="0FE87614" w14:textId="10F48857" w:rsidR="003C2D9E" w:rsidRPr="0086613B" w:rsidRDefault="000D7068" w:rsidP="00EF53DF">
      <w:pPr>
        <w:tabs>
          <w:tab w:val="left" w:pos="4680"/>
        </w:tabs>
        <w:spacing w:before="240" w:after="0" w:line="240" w:lineRule="auto"/>
        <w:outlineLvl w:val="0"/>
        <w:rPr>
          <w:rFonts w:ascii="Times New Roman" w:eastAsia="Times New Roman" w:hAnsi="Times New Roman" w:cs="Times New Roman"/>
          <w:b/>
          <w:sz w:val="24"/>
          <w:szCs w:val="24"/>
        </w:rPr>
      </w:pPr>
      <w:r w:rsidRPr="008B301F">
        <w:rPr>
          <w:rFonts w:ascii="Times New Roman" w:eastAsia="Times New Roman" w:hAnsi="Times New Roman" w:cs="Times New Roman"/>
          <w:b/>
          <w:sz w:val="24"/>
          <w:szCs w:val="24"/>
        </w:rPr>
        <w:t xml:space="preserve">Type of incident </w:t>
      </w:r>
    </w:p>
    <w:p w14:paraId="6F977C1C" w14:textId="114B7821" w:rsidR="001E03BD" w:rsidRDefault="00F857F0" w:rsidP="00EF53DF">
      <w:pPr>
        <w:spacing w:line="240" w:lineRule="auto"/>
        <w:rPr>
          <w:rFonts w:ascii="Times New Roman" w:hAnsi="Times New Roman" w:cs="Times New Roman"/>
          <w:sz w:val="24"/>
          <w:szCs w:val="24"/>
        </w:rPr>
      </w:pPr>
      <w:r w:rsidRPr="00F857F0">
        <w:rPr>
          <w:rFonts w:ascii="Times New Roman" w:hAnsi="Times New Roman" w:cs="Times New Roman"/>
          <w:sz w:val="24"/>
          <w:szCs w:val="24"/>
        </w:rPr>
        <w:t xml:space="preserve">In Maryland, transportation incidents </w:t>
      </w:r>
      <w:proofErr w:type="gramStart"/>
      <w:r w:rsidR="004F00A8">
        <w:rPr>
          <w:rFonts w:ascii="Times New Roman" w:hAnsi="Times New Roman" w:cs="Times New Roman"/>
          <w:sz w:val="24"/>
          <w:szCs w:val="24"/>
        </w:rPr>
        <w:t>was</w:t>
      </w:r>
      <w:proofErr w:type="gramEnd"/>
      <w:r w:rsidR="004F00A8">
        <w:rPr>
          <w:rFonts w:ascii="Times New Roman" w:hAnsi="Times New Roman" w:cs="Times New Roman"/>
          <w:sz w:val="24"/>
          <w:szCs w:val="24"/>
        </w:rPr>
        <w:t xml:space="preserve"> </w:t>
      </w:r>
      <w:r w:rsidRPr="00F857F0">
        <w:rPr>
          <w:rFonts w:ascii="Times New Roman" w:hAnsi="Times New Roman" w:cs="Times New Roman"/>
          <w:sz w:val="24"/>
          <w:szCs w:val="24"/>
        </w:rPr>
        <w:t>the most frequent type of incident resulting in 2</w:t>
      </w:r>
      <w:r>
        <w:rPr>
          <w:rFonts w:ascii="Times New Roman" w:hAnsi="Times New Roman" w:cs="Times New Roman"/>
          <w:sz w:val="24"/>
          <w:szCs w:val="24"/>
        </w:rPr>
        <w:t>6</w:t>
      </w:r>
      <w:r w:rsidRPr="00F857F0">
        <w:rPr>
          <w:rFonts w:ascii="Times New Roman" w:hAnsi="Times New Roman" w:cs="Times New Roman"/>
          <w:sz w:val="24"/>
          <w:szCs w:val="24"/>
        </w:rPr>
        <w:t xml:space="preserve"> fatal work injuries.</w:t>
      </w:r>
      <w:r w:rsidR="001E03BD">
        <w:rPr>
          <w:rFonts w:ascii="Times New Roman" w:hAnsi="Times New Roman" w:cs="Times New Roman"/>
          <w:sz w:val="24"/>
          <w:szCs w:val="24"/>
        </w:rPr>
        <w:t xml:space="preserve"> Transportation incidents </w:t>
      </w:r>
      <w:r w:rsidR="004F00A8">
        <w:rPr>
          <w:rFonts w:ascii="Times New Roman" w:hAnsi="Times New Roman" w:cs="Times New Roman"/>
          <w:sz w:val="24"/>
          <w:szCs w:val="24"/>
        </w:rPr>
        <w:t>was also the mo</w:t>
      </w:r>
      <w:r w:rsidR="001E03BD">
        <w:rPr>
          <w:rFonts w:ascii="Times New Roman" w:hAnsi="Times New Roman" w:cs="Times New Roman"/>
          <w:sz w:val="24"/>
          <w:szCs w:val="24"/>
        </w:rPr>
        <w:t>st frequent type of fatal event in the United States overall.</w:t>
      </w:r>
      <w:r w:rsidR="004F00A8">
        <w:rPr>
          <w:rFonts w:ascii="Times New Roman" w:hAnsi="Times New Roman" w:cs="Times New Roman"/>
          <w:sz w:val="24"/>
          <w:szCs w:val="24"/>
        </w:rPr>
        <w:t xml:space="preserve"> T</w:t>
      </w:r>
      <w:r w:rsidR="003C2D9E">
        <w:rPr>
          <w:rFonts w:ascii="Times New Roman" w:hAnsi="Times New Roman" w:cs="Times New Roman"/>
          <w:sz w:val="24"/>
          <w:szCs w:val="24"/>
        </w:rPr>
        <w:t xml:space="preserve">here were 19 deaths as a result of exposure to harmful substances </w:t>
      </w:r>
      <w:r w:rsidR="004F00A8">
        <w:rPr>
          <w:rFonts w:ascii="Times New Roman" w:hAnsi="Times New Roman" w:cs="Times New Roman"/>
          <w:sz w:val="24"/>
          <w:szCs w:val="24"/>
        </w:rPr>
        <w:t xml:space="preserve">or </w:t>
      </w:r>
      <w:r w:rsidR="003C2D9E">
        <w:rPr>
          <w:rFonts w:ascii="Times New Roman" w:hAnsi="Times New Roman" w:cs="Times New Roman"/>
          <w:sz w:val="24"/>
          <w:szCs w:val="24"/>
        </w:rPr>
        <w:t>environments</w:t>
      </w:r>
      <w:r>
        <w:rPr>
          <w:rFonts w:ascii="Times New Roman" w:hAnsi="Times New Roman" w:cs="Times New Roman"/>
          <w:sz w:val="24"/>
          <w:szCs w:val="24"/>
        </w:rPr>
        <w:t xml:space="preserve"> which</w:t>
      </w:r>
      <w:r w:rsidR="003C2D9E">
        <w:rPr>
          <w:rFonts w:ascii="Times New Roman" w:hAnsi="Times New Roman" w:cs="Times New Roman"/>
          <w:sz w:val="24"/>
          <w:szCs w:val="24"/>
        </w:rPr>
        <w:t xml:space="preserve"> includes overdoses and environmental weather conditions</w:t>
      </w:r>
      <w:r>
        <w:rPr>
          <w:rFonts w:ascii="Times New Roman" w:hAnsi="Times New Roman" w:cs="Times New Roman"/>
          <w:sz w:val="24"/>
          <w:szCs w:val="24"/>
        </w:rPr>
        <w:t>, making</w:t>
      </w:r>
      <w:r w:rsidR="004F00A8">
        <w:rPr>
          <w:rFonts w:ascii="Times New Roman" w:hAnsi="Times New Roman" w:cs="Times New Roman"/>
          <w:sz w:val="24"/>
          <w:szCs w:val="24"/>
        </w:rPr>
        <w:t xml:space="preserve"> this event </w:t>
      </w:r>
      <w:r>
        <w:rPr>
          <w:rFonts w:ascii="Times New Roman" w:hAnsi="Times New Roman" w:cs="Times New Roman"/>
          <w:sz w:val="24"/>
          <w:szCs w:val="24"/>
        </w:rPr>
        <w:t xml:space="preserve">the second leading cause of </w:t>
      </w:r>
      <w:r w:rsidR="008C5856">
        <w:rPr>
          <w:rFonts w:ascii="Times New Roman" w:hAnsi="Times New Roman" w:cs="Times New Roman"/>
          <w:sz w:val="24"/>
          <w:szCs w:val="24"/>
        </w:rPr>
        <w:t>work-related</w:t>
      </w:r>
      <w:r>
        <w:rPr>
          <w:rFonts w:ascii="Times New Roman" w:hAnsi="Times New Roman" w:cs="Times New Roman"/>
          <w:sz w:val="24"/>
          <w:szCs w:val="24"/>
        </w:rPr>
        <w:t xml:space="preserve"> deaths in Maryland. In 2022, </w:t>
      </w:r>
      <w:r w:rsidR="004F00A8">
        <w:rPr>
          <w:rFonts w:ascii="Times New Roman" w:hAnsi="Times New Roman" w:cs="Times New Roman"/>
          <w:sz w:val="24"/>
          <w:szCs w:val="24"/>
        </w:rPr>
        <w:t xml:space="preserve">exposure to harmful substances or environments accounted for 9 work related fatalities while </w:t>
      </w:r>
      <w:r w:rsidR="008519C9">
        <w:rPr>
          <w:rFonts w:ascii="Times New Roman" w:hAnsi="Times New Roman" w:cs="Times New Roman"/>
          <w:sz w:val="24"/>
          <w:szCs w:val="24"/>
        </w:rPr>
        <w:t>v</w:t>
      </w:r>
      <w:r w:rsidRPr="00F857F0">
        <w:rPr>
          <w:rFonts w:ascii="Times New Roman" w:hAnsi="Times New Roman" w:cs="Times New Roman"/>
          <w:sz w:val="24"/>
          <w:szCs w:val="24"/>
        </w:rPr>
        <w:t>iolence and other injuries by persons or animals</w:t>
      </w:r>
      <w:r>
        <w:rPr>
          <w:rFonts w:ascii="Times New Roman" w:hAnsi="Times New Roman" w:cs="Times New Roman"/>
          <w:sz w:val="24"/>
          <w:szCs w:val="24"/>
        </w:rPr>
        <w:t xml:space="preserve"> was the second most frequent with 22 fatalities. Compared to this year, there were only 9 deaths as a result of violent acts. </w:t>
      </w:r>
      <w:r w:rsidRPr="00F857F0">
        <w:rPr>
          <w:rFonts w:ascii="Times New Roman" w:hAnsi="Times New Roman" w:cs="Times New Roman"/>
          <w:sz w:val="24"/>
          <w:szCs w:val="24"/>
        </w:rPr>
        <w:t xml:space="preserve">These three major categories accounted for </w:t>
      </w:r>
      <w:r>
        <w:rPr>
          <w:rFonts w:ascii="Times New Roman" w:hAnsi="Times New Roman" w:cs="Times New Roman"/>
          <w:sz w:val="24"/>
          <w:szCs w:val="24"/>
        </w:rPr>
        <w:t>just over 78</w:t>
      </w:r>
      <w:r w:rsidRPr="00F857F0">
        <w:rPr>
          <w:rFonts w:ascii="Times New Roman" w:hAnsi="Times New Roman" w:cs="Times New Roman"/>
          <w:sz w:val="24"/>
          <w:szCs w:val="24"/>
        </w:rPr>
        <w:t xml:space="preserve"> percent of all workplace fatalities in the stat</w:t>
      </w:r>
      <w:r w:rsidR="004F00A8">
        <w:rPr>
          <w:rFonts w:ascii="Times New Roman" w:hAnsi="Times New Roman" w:cs="Times New Roman"/>
          <w:sz w:val="24"/>
          <w:szCs w:val="24"/>
        </w:rPr>
        <w:t>e</w:t>
      </w:r>
      <w:r>
        <w:rPr>
          <w:rFonts w:ascii="Times New Roman" w:hAnsi="Times New Roman" w:cs="Times New Roman"/>
          <w:sz w:val="24"/>
          <w:szCs w:val="24"/>
        </w:rPr>
        <w:t xml:space="preserve"> compared to 6</w:t>
      </w:r>
      <w:r w:rsidR="004F00A8">
        <w:rPr>
          <w:rFonts w:ascii="Times New Roman" w:hAnsi="Times New Roman" w:cs="Times New Roman"/>
          <w:sz w:val="24"/>
          <w:szCs w:val="24"/>
        </w:rPr>
        <w:t>8</w:t>
      </w:r>
      <w:r>
        <w:rPr>
          <w:rFonts w:ascii="Times New Roman" w:hAnsi="Times New Roman" w:cs="Times New Roman"/>
          <w:sz w:val="24"/>
          <w:szCs w:val="24"/>
        </w:rPr>
        <w:t xml:space="preserve"> percent in 2022. </w:t>
      </w:r>
    </w:p>
    <w:p w14:paraId="2F979E3B" w14:textId="698E84C9" w:rsidR="007A5B28" w:rsidRDefault="007A5B28" w:rsidP="00EF53DF">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374B4D" wp14:editId="61461C41">
            <wp:extent cx="5486400" cy="3200400"/>
            <wp:effectExtent l="0" t="0" r="0" b="0"/>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267966" w14:textId="0E84144D" w:rsidR="00235D29" w:rsidRPr="007308F5" w:rsidRDefault="00235D29" w:rsidP="00235D29">
      <w:pPr>
        <w:pStyle w:val="Caption"/>
        <w:keepNext/>
        <w:rPr>
          <w:rFonts w:ascii="Times New Roman" w:hAnsi="Times New Roman" w:cs="Times New Roman"/>
          <w:sz w:val="24"/>
          <w:szCs w:val="24"/>
        </w:rPr>
      </w:pPr>
      <w:r w:rsidRPr="007308F5">
        <w:rPr>
          <w:rFonts w:ascii="Times New Roman" w:hAnsi="Times New Roman" w:cs="Times New Roman"/>
          <w:sz w:val="24"/>
          <w:szCs w:val="24"/>
        </w:rPr>
        <w:t xml:space="preserve">Table </w:t>
      </w:r>
      <w:r w:rsidRPr="007308F5">
        <w:rPr>
          <w:rFonts w:ascii="Times New Roman" w:hAnsi="Times New Roman" w:cs="Times New Roman"/>
          <w:sz w:val="24"/>
          <w:szCs w:val="24"/>
        </w:rPr>
        <w:fldChar w:fldCharType="begin"/>
      </w:r>
      <w:r w:rsidRPr="007308F5">
        <w:rPr>
          <w:rFonts w:ascii="Times New Roman" w:hAnsi="Times New Roman" w:cs="Times New Roman"/>
          <w:sz w:val="24"/>
          <w:szCs w:val="24"/>
        </w:rPr>
        <w:instrText xml:space="preserve"> SEQ Table \* ARABIC </w:instrText>
      </w:r>
      <w:r w:rsidRPr="007308F5">
        <w:rPr>
          <w:rFonts w:ascii="Times New Roman" w:hAnsi="Times New Roman" w:cs="Times New Roman"/>
          <w:sz w:val="24"/>
          <w:szCs w:val="24"/>
        </w:rPr>
        <w:fldChar w:fldCharType="separate"/>
      </w:r>
      <w:r w:rsidR="007308F5">
        <w:rPr>
          <w:rFonts w:ascii="Times New Roman" w:hAnsi="Times New Roman" w:cs="Times New Roman"/>
          <w:noProof/>
          <w:sz w:val="24"/>
          <w:szCs w:val="24"/>
        </w:rPr>
        <w:t>2</w:t>
      </w:r>
      <w:r w:rsidRPr="007308F5">
        <w:rPr>
          <w:rFonts w:ascii="Times New Roman" w:hAnsi="Times New Roman" w:cs="Times New Roman"/>
          <w:sz w:val="24"/>
          <w:szCs w:val="24"/>
        </w:rPr>
        <w:fldChar w:fldCharType="end"/>
      </w:r>
      <w:r w:rsidRPr="007308F5">
        <w:rPr>
          <w:rFonts w:ascii="Times New Roman" w:hAnsi="Times New Roman" w:cs="Times New Roman"/>
          <w:sz w:val="24"/>
          <w:szCs w:val="24"/>
        </w:rPr>
        <w:t>- Fatal Work Injuries by Event, Maryland, 2023</w:t>
      </w:r>
    </w:p>
    <w:tbl>
      <w:tblPr>
        <w:tblStyle w:val="TableGrid"/>
        <w:tblW w:w="4495" w:type="dxa"/>
        <w:tblLook w:val="04A0" w:firstRow="1" w:lastRow="0" w:firstColumn="1" w:lastColumn="0" w:noHBand="0" w:noVBand="1"/>
      </w:tblPr>
      <w:tblGrid>
        <w:gridCol w:w="2155"/>
        <w:gridCol w:w="2340"/>
      </w:tblGrid>
      <w:tr w:rsidR="00235D29" w:rsidRPr="00C9208D" w14:paraId="4630B3B6" w14:textId="77777777" w:rsidTr="00235D29">
        <w:trPr>
          <w:trHeight w:val="300"/>
        </w:trPr>
        <w:tc>
          <w:tcPr>
            <w:tcW w:w="2155" w:type="dxa"/>
            <w:noWrap/>
            <w:hideMark/>
          </w:tcPr>
          <w:p w14:paraId="097251EE" w14:textId="034F4EB6" w:rsidR="00235D29" w:rsidRPr="00235D29" w:rsidRDefault="00235D29" w:rsidP="00235D29">
            <w:pPr>
              <w:jc w:val="center"/>
              <w:rPr>
                <w:rFonts w:eastAsia="Times New Roman" w:cs="Times New Roman"/>
                <w:b/>
                <w:bCs/>
                <w:i/>
                <w:iCs/>
                <w:color w:val="000000"/>
                <w:u w:val="single"/>
              </w:rPr>
            </w:pPr>
            <w:r w:rsidRPr="00235D29">
              <w:rPr>
                <w:rFonts w:eastAsia="Times New Roman" w:cs="Times New Roman"/>
                <w:b/>
                <w:bCs/>
                <w:i/>
                <w:iCs/>
                <w:color w:val="000000"/>
                <w:u w:val="single"/>
              </w:rPr>
              <w:t>Event</w:t>
            </w:r>
          </w:p>
        </w:tc>
        <w:tc>
          <w:tcPr>
            <w:tcW w:w="2340" w:type="dxa"/>
          </w:tcPr>
          <w:p w14:paraId="0D59B991" w14:textId="7228B0F4" w:rsidR="00235D29" w:rsidRPr="00235D29" w:rsidRDefault="008017AD" w:rsidP="00235D29">
            <w:pPr>
              <w:jc w:val="center"/>
              <w:rPr>
                <w:rFonts w:eastAsia="Times New Roman" w:cs="Times New Roman"/>
                <w:b/>
                <w:bCs/>
                <w:i/>
                <w:iCs/>
                <w:color w:val="000000"/>
                <w:u w:val="single"/>
              </w:rPr>
            </w:pPr>
            <w:r>
              <w:rPr>
                <w:rFonts w:eastAsia="Times New Roman" w:cs="Times New Roman"/>
                <w:b/>
                <w:bCs/>
                <w:i/>
                <w:iCs/>
                <w:color w:val="000000"/>
                <w:u w:val="single"/>
              </w:rPr>
              <w:t>Number of Fatalities</w:t>
            </w:r>
          </w:p>
        </w:tc>
      </w:tr>
      <w:tr w:rsidR="00C9208D" w:rsidRPr="00C9208D" w14:paraId="5A9D202C" w14:textId="77777777" w:rsidTr="00F50410">
        <w:trPr>
          <w:trHeight w:val="840"/>
        </w:trPr>
        <w:tc>
          <w:tcPr>
            <w:tcW w:w="2155" w:type="dxa"/>
            <w:hideMark/>
          </w:tcPr>
          <w:p w14:paraId="556B2442" w14:textId="77777777" w:rsidR="00C9208D" w:rsidRPr="00C9208D" w:rsidRDefault="00C9208D" w:rsidP="00C9208D">
            <w:pPr>
              <w:rPr>
                <w:rFonts w:eastAsia="Times New Roman" w:cs="Tahoma"/>
                <w:color w:val="000000"/>
              </w:rPr>
            </w:pPr>
            <w:r w:rsidRPr="00C9208D">
              <w:rPr>
                <w:rFonts w:eastAsia="Times New Roman" w:cs="Tahoma"/>
                <w:color w:val="000000"/>
              </w:rPr>
              <w:t xml:space="preserve">     Transportation incidents</w:t>
            </w:r>
          </w:p>
        </w:tc>
        <w:tc>
          <w:tcPr>
            <w:tcW w:w="2340" w:type="dxa"/>
            <w:noWrap/>
            <w:hideMark/>
          </w:tcPr>
          <w:p w14:paraId="0A5ADB56" w14:textId="25DFBCFB" w:rsidR="00C9208D" w:rsidRPr="00C9208D" w:rsidRDefault="008017AD" w:rsidP="00C9208D">
            <w:pPr>
              <w:jc w:val="right"/>
              <w:rPr>
                <w:rFonts w:eastAsia="Times New Roman" w:cs="Times New Roman"/>
                <w:color w:val="000000"/>
              </w:rPr>
            </w:pPr>
            <w:r>
              <w:rPr>
                <w:rFonts w:eastAsia="Times New Roman" w:cs="Times New Roman"/>
                <w:color w:val="000000"/>
              </w:rPr>
              <w:t>26</w:t>
            </w:r>
          </w:p>
        </w:tc>
      </w:tr>
      <w:tr w:rsidR="00C9208D" w:rsidRPr="00C9208D" w14:paraId="234F8931" w14:textId="77777777" w:rsidTr="00F50410">
        <w:trPr>
          <w:trHeight w:val="1050"/>
        </w:trPr>
        <w:tc>
          <w:tcPr>
            <w:tcW w:w="2155" w:type="dxa"/>
            <w:hideMark/>
          </w:tcPr>
          <w:p w14:paraId="58E81F16" w14:textId="77777777" w:rsidR="00C9208D" w:rsidRPr="00C9208D" w:rsidRDefault="00C9208D" w:rsidP="00C9208D">
            <w:pPr>
              <w:rPr>
                <w:rFonts w:eastAsia="Times New Roman" w:cs="Tahoma"/>
                <w:color w:val="000000"/>
              </w:rPr>
            </w:pPr>
            <w:r w:rsidRPr="00C9208D">
              <w:rPr>
                <w:rFonts w:eastAsia="Times New Roman" w:cs="Tahoma"/>
                <w:color w:val="000000"/>
              </w:rPr>
              <w:t xml:space="preserve">     Exposure to harmful substances, environments</w:t>
            </w:r>
          </w:p>
        </w:tc>
        <w:tc>
          <w:tcPr>
            <w:tcW w:w="2340" w:type="dxa"/>
            <w:noWrap/>
            <w:hideMark/>
          </w:tcPr>
          <w:p w14:paraId="5BFD666F" w14:textId="55FDB745" w:rsidR="00C9208D" w:rsidRPr="00C9208D" w:rsidRDefault="008017AD" w:rsidP="00C9208D">
            <w:pPr>
              <w:jc w:val="right"/>
              <w:rPr>
                <w:rFonts w:eastAsia="Times New Roman" w:cs="Times New Roman"/>
                <w:color w:val="000000"/>
              </w:rPr>
            </w:pPr>
            <w:r>
              <w:rPr>
                <w:rFonts w:eastAsia="Times New Roman" w:cs="Times New Roman"/>
                <w:color w:val="000000"/>
              </w:rPr>
              <w:t>19</w:t>
            </w:r>
          </w:p>
        </w:tc>
      </w:tr>
      <w:tr w:rsidR="00C9208D" w:rsidRPr="00C9208D" w14:paraId="5869ABC9" w14:textId="77777777" w:rsidTr="00F50410">
        <w:trPr>
          <w:trHeight w:val="420"/>
        </w:trPr>
        <w:tc>
          <w:tcPr>
            <w:tcW w:w="2155" w:type="dxa"/>
            <w:hideMark/>
          </w:tcPr>
          <w:p w14:paraId="3D4EE09D" w14:textId="77777777" w:rsidR="00C9208D" w:rsidRPr="00C9208D" w:rsidRDefault="00C9208D" w:rsidP="00C9208D">
            <w:pPr>
              <w:rPr>
                <w:rFonts w:eastAsia="Times New Roman" w:cs="Tahoma"/>
                <w:color w:val="000000"/>
              </w:rPr>
            </w:pPr>
            <w:r w:rsidRPr="00C9208D">
              <w:rPr>
                <w:rFonts w:eastAsia="Times New Roman" w:cs="Tahoma"/>
                <w:color w:val="000000"/>
              </w:rPr>
              <w:t xml:space="preserve">     Violent acts</w:t>
            </w:r>
          </w:p>
        </w:tc>
        <w:tc>
          <w:tcPr>
            <w:tcW w:w="2340" w:type="dxa"/>
            <w:noWrap/>
            <w:hideMark/>
          </w:tcPr>
          <w:p w14:paraId="160BA946" w14:textId="7984FD4D" w:rsidR="00C9208D" w:rsidRPr="00C9208D" w:rsidRDefault="008017AD" w:rsidP="00C9208D">
            <w:pPr>
              <w:jc w:val="right"/>
              <w:rPr>
                <w:rFonts w:eastAsia="Times New Roman" w:cs="Times New Roman"/>
                <w:color w:val="000000"/>
              </w:rPr>
            </w:pPr>
            <w:r>
              <w:rPr>
                <w:rFonts w:eastAsia="Times New Roman" w:cs="Times New Roman"/>
                <w:color w:val="000000"/>
              </w:rPr>
              <w:t>9</w:t>
            </w:r>
          </w:p>
        </w:tc>
      </w:tr>
      <w:tr w:rsidR="00C9208D" w:rsidRPr="00C9208D" w14:paraId="3E9DE457" w14:textId="77777777" w:rsidTr="00F50410">
        <w:trPr>
          <w:trHeight w:val="420"/>
        </w:trPr>
        <w:tc>
          <w:tcPr>
            <w:tcW w:w="2155" w:type="dxa"/>
            <w:hideMark/>
          </w:tcPr>
          <w:p w14:paraId="68F01130" w14:textId="77777777" w:rsidR="00C9208D" w:rsidRPr="00C9208D" w:rsidRDefault="00C9208D" w:rsidP="00C9208D">
            <w:pPr>
              <w:rPr>
                <w:rFonts w:eastAsia="Times New Roman" w:cs="Tahoma"/>
                <w:color w:val="000000"/>
              </w:rPr>
            </w:pPr>
            <w:r w:rsidRPr="00C9208D">
              <w:rPr>
                <w:rFonts w:eastAsia="Times New Roman" w:cs="Tahoma"/>
                <w:color w:val="000000"/>
              </w:rPr>
              <w:t xml:space="preserve">     Contact incidents</w:t>
            </w:r>
          </w:p>
        </w:tc>
        <w:tc>
          <w:tcPr>
            <w:tcW w:w="2340" w:type="dxa"/>
            <w:noWrap/>
            <w:hideMark/>
          </w:tcPr>
          <w:p w14:paraId="5CD0501A" w14:textId="37E2F3CE" w:rsidR="00C9208D" w:rsidRPr="00C9208D" w:rsidRDefault="008017AD" w:rsidP="00C9208D">
            <w:pPr>
              <w:jc w:val="right"/>
              <w:rPr>
                <w:rFonts w:eastAsia="Times New Roman" w:cs="Times New Roman"/>
                <w:color w:val="000000"/>
              </w:rPr>
            </w:pPr>
            <w:r>
              <w:rPr>
                <w:rFonts w:eastAsia="Times New Roman" w:cs="Times New Roman"/>
                <w:color w:val="000000"/>
              </w:rPr>
              <w:t>7</w:t>
            </w:r>
          </w:p>
        </w:tc>
      </w:tr>
      <w:tr w:rsidR="00C9208D" w:rsidRPr="00C9208D" w14:paraId="3D225901" w14:textId="77777777" w:rsidTr="00F50410">
        <w:trPr>
          <w:trHeight w:val="420"/>
        </w:trPr>
        <w:tc>
          <w:tcPr>
            <w:tcW w:w="2155" w:type="dxa"/>
            <w:hideMark/>
          </w:tcPr>
          <w:p w14:paraId="4A4DB0DA" w14:textId="77777777" w:rsidR="00C9208D" w:rsidRPr="00C9208D" w:rsidRDefault="00C9208D" w:rsidP="00C9208D">
            <w:pPr>
              <w:rPr>
                <w:rFonts w:eastAsia="Times New Roman" w:cs="Tahoma"/>
                <w:color w:val="000000"/>
              </w:rPr>
            </w:pPr>
            <w:r w:rsidRPr="00C9208D">
              <w:rPr>
                <w:rFonts w:eastAsia="Times New Roman" w:cs="Tahoma"/>
                <w:color w:val="000000"/>
              </w:rPr>
              <w:t xml:space="preserve">     Falls, slips, trips</w:t>
            </w:r>
          </w:p>
        </w:tc>
        <w:tc>
          <w:tcPr>
            <w:tcW w:w="2340" w:type="dxa"/>
            <w:noWrap/>
            <w:hideMark/>
          </w:tcPr>
          <w:p w14:paraId="21866D78" w14:textId="1DC54710" w:rsidR="00C9208D" w:rsidRPr="00C9208D" w:rsidRDefault="008017AD" w:rsidP="00C9208D">
            <w:pPr>
              <w:jc w:val="right"/>
              <w:rPr>
                <w:rFonts w:eastAsia="Times New Roman" w:cs="Times New Roman"/>
                <w:color w:val="000000"/>
              </w:rPr>
            </w:pPr>
            <w:r>
              <w:rPr>
                <w:rFonts w:eastAsia="Times New Roman" w:cs="Times New Roman"/>
                <w:color w:val="000000"/>
              </w:rPr>
              <w:t>6</w:t>
            </w:r>
          </w:p>
        </w:tc>
      </w:tr>
    </w:tbl>
    <w:p w14:paraId="5CF7C31F" w14:textId="2EC5AB9E" w:rsidR="00F857F0" w:rsidRPr="00F82E55" w:rsidRDefault="00F82E55" w:rsidP="00F82E55">
      <w:pPr>
        <w:rPr>
          <w:rFonts w:ascii="Times New Roman" w:eastAsia="Times New Roman" w:hAnsi="Times New Roman" w:cs="Times New Roman"/>
          <w:sz w:val="24"/>
          <w:szCs w:val="24"/>
        </w:rPr>
      </w:pPr>
      <w:bookmarkStart w:id="0" w:name="_Hlk196308583"/>
      <w:r w:rsidRPr="00AF3BDB">
        <w:rPr>
          <w:rFonts w:ascii="Times New Roman" w:hAnsi="Times New Roman" w:cs="Times New Roman"/>
          <w:sz w:val="20"/>
        </w:rPr>
        <w:t>Source: Maryland Division of Labor and Industry in cooperation with the U.S. Bureau of Labor Statistics, CFOI Program, December 202</w:t>
      </w:r>
      <w:r>
        <w:rPr>
          <w:rFonts w:ascii="Times New Roman" w:hAnsi="Times New Roman" w:cs="Times New Roman"/>
          <w:sz w:val="20"/>
        </w:rPr>
        <w:t>4</w:t>
      </w:r>
      <w:r w:rsidRPr="00AF3BDB">
        <w:rPr>
          <w:rFonts w:ascii="Times New Roman" w:hAnsi="Times New Roman" w:cs="Times New Roman"/>
          <w:sz w:val="20"/>
        </w:rPr>
        <w:t xml:space="preserve">. </w:t>
      </w:r>
      <w:r w:rsidR="004D1623">
        <w:rPr>
          <w:rFonts w:ascii="Times New Roman" w:hAnsi="Times New Roman" w:cs="Times New Roman"/>
          <w:sz w:val="20"/>
        </w:rPr>
        <w:t>*Percentages may not add up to 100 due to rounding.</w:t>
      </w:r>
    </w:p>
    <w:bookmarkEnd w:id="0"/>
    <w:p w14:paraId="532CF46F" w14:textId="77777777" w:rsidR="007C1F08" w:rsidRDefault="0086613B" w:rsidP="007C1F08">
      <w:pPr>
        <w:spacing w:after="0" w:line="240" w:lineRule="auto"/>
        <w:rPr>
          <w:rFonts w:ascii="Times New Roman" w:hAnsi="Times New Roman" w:cs="Times New Roman"/>
          <w:b/>
          <w:sz w:val="24"/>
          <w:szCs w:val="24"/>
        </w:rPr>
      </w:pPr>
      <w:r w:rsidRPr="002726F5">
        <w:rPr>
          <w:rFonts w:ascii="Times New Roman" w:hAnsi="Times New Roman" w:cs="Times New Roman"/>
          <w:b/>
          <w:sz w:val="24"/>
          <w:szCs w:val="24"/>
        </w:rPr>
        <w:t>Industry</w:t>
      </w:r>
    </w:p>
    <w:p w14:paraId="19E044CD" w14:textId="2CC384B9" w:rsidR="008E09D9" w:rsidRDefault="008E09D9" w:rsidP="007C1F08">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Private sector </w:t>
      </w:r>
      <w:r w:rsidR="009372E8">
        <w:rPr>
          <w:rFonts w:ascii="Times New Roman" w:hAnsi="Times New Roman" w:cs="Times New Roman"/>
          <w:bCs/>
          <w:sz w:val="24"/>
          <w:szCs w:val="24"/>
        </w:rPr>
        <w:t>t</w:t>
      </w:r>
      <w:r>
        <w:rPr>
          <w:rFonts w:ascii="Times New Roman" w:hAnsi="Times New Roman" w:cs="Times New Roman"/>
          <w:bCs/>
          <w:sz w:val="24"/>
          <w:szCs w:val="24"/>
        </w:rPr>
        <w:t xml:space="preserve">ransportation and </w:t>
      </w:r>
      <w:r w:rsidR="00F66FA8">
        <w:rPr>
          <w:rFonts w:ascii="Times New Roman" w:hAnsi="Times New Roman" w:cs="Times New Roman"/>
          <w:bCs/>
          <w:sz w:val="24"/>
          <w:szCs w:val="24"/>
        </w:rPr>
        <w:t>w</w:t>
      </w:r>
      <w:r>
        <w:rPr>
          <w:rFonts w:ascii="Times New Roman" w:hAnsi="Times New Roman" w:cs="Times New Roman"/>
          <w:bCs/>
          <w:sz w:val="24"/>
          <w:szCs w:val="24"/>
        </w:rPr>
        <w:t>arehousing accounted for 17 fatalities, up from 12 in 2022</w:t>
      </w:r>
      <w:r w:rsidR="009372E8">
        <w:rPr>
          <w:rFonts w:ascii="Times New Roman" w:hAnsi="Times New Roman" w:cs="Times New Roman"/>
          <w:bCs/>
          <w:sz w:val="24"/>
          <w:szCs w:val="24"/>
        </w:rPr>
        <w:t>,</w:t>
      </w:r>
      <w:r>
        <w:rPr>
          <w:rFonts w:ascii="Times New Roman" w:hAnsi="Times New Roman" w:cs="Times New Roman"/>
          <w:bCs/>
          <w:sz w:val="24"/>
          <w:szCs w:val="24"/>
        </w:rPr>
        <w:t xml:space="preserve"> making it the industry with the highest fatalities in 2023. Private sector construction accounted for the largest number of fatalities in 2022. In 2023, it accounted for the second largest number of work-related deaths with 15 fatalities</w:t>
      </w:r>
      <w:r w:rsidR="008E06AB">
        <w:rPr>
          <w:rFonts w:ascii="Times New Roman" w:hAnsi="Times New Roman" w:cs="Times New Roman"/>
          <w:bCs/>
          <w:sz w:val="24"/>
          <w:szCs w:val="24"/>
        </w:rPr>
        <w:t>, 6</w:t>
      </w:r>
      <w:r w:rsidR="003C2D9E">
        <w:rPr>
          <w:rFonts w:ascii="Times New Roman" w:hAnsi="Times New Roman" w:cs="Times New Roman"/>
          <w:bCs/>
          <w:sz w:val="24"/>
          <w:szCs w:val="24"/>
        </w:rPr>
        <w:t xml:space="preserve"> </w:t>
      </w:r>
      <w:r w:rsidR="00F66FA8">
        <w:rPr>
          <w:rFonts w:ascii="Times New Roman" w:hAnsi="Times New Roman" w:cs="Times New Roman"/>
          <w:bCs/>
          <w:sz w:val="24"/>
          <w:szCs w:val="24"/>
        </w:rPr>
        <w:t xml:space="preserve">of which </w:t>
      </w:r>
      <w:r w:rsidR="003C2D9E">
        <w:rPr>
          <w:rFonts w:ascii="Times New Roman" w:hAnsi="Times New Roman" w:cs="Times New Roman"/>
          <w:bCs/>
          <w:sz w:val="24"/>
          <w:szCs w:val="24"/>
        </w:rPr>
        <w:t xml:space="preserve">were due to exposure to harmful substances </w:t>
      </w:r>
      <w:r w:rsidR="00F66FA8">
        <w:rPr>
          <w:rFonts w:ascii="Times New Roman" w:hAnsi="Times New Roman" w:cs="Times New Roman"/>
          <w:bCs/>
          <w:sz w:val="24"/>
          <w:szCs w:val="24"/>
        </w:rPr>
        <w:t xml:space="preserve">or </w:t>
      </w:r>
      <w:r w:rsidR="003C2D9E">
        <w:rPr>
          <w:rFonts w:ascii="Times New Roman" w:hAnsi="Times New Roman" w:cs="Times New Roman"/>
          <w:bCs/>
          <w:sz w:val="24"/>
          <w:szCs w:val="24"/>
        </w:rPr>
        <w:t xml:space="preserve">environments. </w:t>
      </w:r>
      <w:r w:rsidR="001E03BD">
        <w:rPr>
          <w:rFonts w:ascii="Times New Roman" w:hAnsi="Times New Roman" w:cs="Times New Roman"/>
          <w:bCs/>
          <w:sz w:val="24"/>
          <w:szCs w:val="24"/>
        </w:rPr>
        <w:t xml:space="preserve">Nationally, </w:t>
      </w:r>
      <w:r w:rsidR="00A3409D">
        <w:rPr>
          <w:rFonts w:ascii="Times New Roman" w:hAnsi="Times New Roman" w:cs="Times New Roman"/>
          <w:bCs/>
          <w:sz w:val="24"/>
          <w:szCs w:val="24"/>
        </w:rPr>
        <w:t>c</w:t>
      </w:r>
      <w:r w:rsidR="001E03BD">
        <w:rPr>
          <w:rFonts w:ascii="Times New Roman" w:hAnsi="Times New Roman" w:cs="Times New Roman"/>
          <w:bCs/>
          <w:sz w:val="24"/>
          <w:szCs w:val="24"/>
        </w:rPr>
        <w:t xml:space="preserve">onstruction had the most fatalities among all industry sectors in 2023. </w:t>
      </w:r>
      <w:r w:rsidR="00A3409D" w:rsidRPr="008E09D9">
        <w:rPr>
          <w:rFonts w:ascii="Times New Roman" w:hAnsi="Times New Roman" w:cs="Times New Roman"/>
          <w:bCs/>
          <w:sz w:val="24"/>
          <w:szCs w:val="24"/>
        </w:rPr>
        <w:t>Administrative and support and waste management and remediation services accounted for</w:t>
      </w:r>
      <w:r w:rsidR="00A3409D">
        <w:rPr>
          <w:rFonts w:ascii="Times New Roman" w:hAnsi="Times New Roman" w:cs="Times New Roman"/>
          <w:bCs/>
          <w:sz w:val="24"/>
          <w:szCs w:val="24"/>
        </w:rPr>
        <w:t xml:space="preserve"> 9 fatalities in the state, down from 11 in 2022. </w:t>
      </w:r>
      <w:r w:rsidR="002F5F1A">
        <w:rPr>
          <w:rFonts w:ascii="Times New Roman" w:hAnsi="Times New Roman" w:cs="Times New Roman"/>
          <w:bCs/>
          <w:sz w:val="24"/>
          <w:szCs w:val="24"/>
        </w:rPr>
        <w:t xml:space="preserve">Maryland’s local government accounted for 4 </w:t>
      </w:r>
      <w:r w:rsidR="00A3409D">
        <w:rPr>
          <w:rFonts w:ascii="Times New Roman" w:hAnsi="Times New Roman" w:cs="Times New Roman"/>
          <w:bCs/>
          <w:sz w:val="24"/>
          <w:szCs w:val="24"/>
        </w:rPr>
        <w:t xml:space="preserve">of the 7 government </w:t>
      </w:r>
      <w:r w:rsidR="002F5F1A">
        <w:rPr>
          <w:rFonts w:ascii="Times New Roman" w:hAnsi="Times New Roman" w:cs="Times New Roman"/>
          <w:bCs/>
          <w:sz w:val="24"/>
          <w:szCs w:val="24"/>
        </w:rPr>
        <w:t xml:space="preserve">fatalities, down from 7 in 2022. </w:t>
      </w:r>
    </w:p>
    <w:p w14:paraId="63C77822" w14:textId="66792CBA" w:rsidR="00743B81" w:rsidRDefault="00743B81" w:rsidP="007C1F08">
      <w:pPr>
        <w:spacing w:after="0" w:line="240" w:lineRule="auto"/>
        <w:rPr>
          <w:rFonts w:ascii="Times New Roman" w:hAnsi="Times New Roman" w:cs="Times New Roman"/>
          <w:bCs/>
          <w:sz w:val="24"/>
          <w:szCs w:val="24"/>
        </w:rPr>
      </w:pPr>
    </w:p>
    <w:p w14:paraId="0EB9EA34" w14:textId="204CA4A4" w:rsidR="00DB0942" w:rsidRPr="0052069A" w:rsidRDefault="00743B81" w:rsidP="00743B81">
      <w:pPr>
        <w:spacing w:after="0" w:line="240" w:lineRule="auto"/>
        <w:rPr>
          <w:rStyle w:val="CommentReference"/>
          <w:rFonts w:ascii="Times New Roman" w:hAnsi="Times New Roman" w:cs="Times New Roman"/>
          <w:bCs/>
          <w:sz w:val="24"/>
          <w:szCs w:val="24"/>
        </w:rPr>
      </w:pPr>
      <w:r>
        <w:rPr>
          <w:rFonts w:ascii="Times New Roman" w:hAnsi="Times New Roman" w:cs="Times New Roman"/>
          <w:bCs/>
          <w:noProof/>
          <w:sz w:val="24"/>
          <w:szCs w:val="24"/>
        </w:rPr>
        <w:lastRenderedPageBreak/>
        <w:drawing>
          <wp:inline distT="0" distB="0" distL="0" distR="0" wp14:anchorId="6ECA6F21" wp14:editId="428CCF94">
            <wp:extent cx="6562725" cy="3200400"/>
            <wp:effectExtent l="0" t="0" r="9525" b="0"/>
            <wp:docPr id="5" name="Char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1" w:name="_Hlk196311930"/>
    </w:p>
    <w:p w14:paraId="1975D5B5" w14:textId="2633F62D" w:rsidR="00C9208D" w:rsidRDefault="00C9208D" w:rsidP="0052069A">
      <w:pPr>
        <w:rPr>
          <w:rFonts w:ascii="Times New Roman" w:hAnsi="Times New Roman" w:cs="Times New Roman"/>
          <w:sz w:val="20"/>
        </w:rPr>
      </w:pPr>
    </w:p>
    <w:p w14:paraId="3F77AD41" w14:textId="6DAB1BF3" w:rsidR="00235D29" w:rsidRPr="007308F5" w:rsidRDefault="00235D29" w:rsidP="00235D29">
      <w:pPr>
        <w:pStyle w:val="Caption"/>
        <w:keepNext/>
        <w:rPr>
          <w:rFonts w:ascii="Times New Roman" w:hAnsi="Times New Roman" w:cs="Times New Roman"/>
          <w:sz w:val="24"/>
          <w:szCs w:val="24"/>
        </w:rPr>
      </w:pPr>
      <w:r w:rsidRPr="007308F5">
        <w:rPr>
          <w:rFonts w:ascii="Times New Roman" w:hAnsi="Times New Roman" w:cs="Times New Roman"/>
          <w:sz w:val="24"/>
          <w:szCs w:val="24"/>
        </w:rPr>
        <w:t xml:space="preserve">Table </w:t>
      </w:r>
      <w:r w:rsidRPr="007308F5">
        <w:rPr>
          <w:rFonts w:ascii="Times New Roman" w:hAnsi="Times New Roman" w:cs="Times New Roman"/>
          <w:sz w:val="24"/>
          <w:szCs w:val="24"/>
        </w:rPr>
        <w:fldChar w:fldCharType="begin"/>
      </w:r>
      <w:r w:rsidRPr="007308F5">
        <w:rPr>
          <w:rFonts w:ascii="Times New Roman" w:hAnsi="Times New Roman" w:cs="Times New Roman"/>
          <w:sz w:val="24"/>
          <w:szCs w:val="24"/>
        </w:rPr>
        <w:instrText xml:space="preserve"> SEQ Table \* ARABIC </w:instrText>
      </w:r>
      <w:r w:rsidRPr="007308F5">
        <w:rPr>
          <w:rFonts w:ascii="Times New Roman" w:hAnsi="Times New Roman" w:cs="Times New Roman"/>
          <w:sz w:val="24"/>
          <w:szCs w:val="24"/>
        </w:rPr>
        <w:fldChar w:fldCharType="separate"/>
      </w:r>
      <w:r w:rsidR="007308F5">
        <w:rPr>
          <w:rFonts w:ascii="Times New Roman" w:hAnsi="Times New Roman" w:cs="Times New Roman"/>
          <w:noProof/>
          <w:sz w:val="24"/>
          <w:szCs w:val="24"/>
        </w:rPr>
        <w:t>3</w:t>
      </w:r>
      <w:r w:rsidRPr="007308F5">
        <w:rPr>
          <w:rFonts w:ascii="Times New Roman" w:hAnsi="Times New Roman" w:cs="Times New Roman"/>
          <w:sz w:val="24"/>
          <w:szCs w:val="24"/>
        </w:rPr>
        <w:fldChar w:fldCharType="end"/>
      </w:r>
      <w:r w:rsidRPr="007308F5">
        <w:rPr>
          <w:rFonts w:ascii="Times New Roman" w:hAnsi="Times New Roman" w:cs="Times New Roman"/>
          <w:sz w:val="24"/>
          <w:szCs w:val="24"/>
        </w:rPr>
        <w:t>- Fatal Work Injuries in Selected Industries, Maryland, 2023 vs 2022</w:t>
      </w:r>
    </w:p>
    <w:tbl>
      <w:tblPr>
        <w:tblStyle w:val="TableGrid"/>
        <w:tblW w:w="9098" w:type="dxa"/>
        <w:tblLook w:val="04A0" w:firstRow="1" w:lastRow="0" w:firstColumn="1" w:lastColumn="0" w:noHBand="0" w:noVBand="1"/>
      </w:tblPr>
      <w:tblGrid>
        <w:gridCol w:w="6978"/>
        <w:gridCol w:w="1060"/>
        <w:gridCol w:w="1060"/>
      </w:tblGrid>
      <w:tr w:rsidR="00C9208D" w:rsidRPr="00C9208D" w14:paraId="1A78B2EE" w14:textId="77777777" w:rsidTr="0083649A">
        <w:trPr>
          <w:trHeight w:val="300"/>
        </w:trPr>
        <w:tc>
          <w:tcPr>
            <w:tcW w:w="6978" w:type="dxa"/>
            <w:noWrap/>
            <w:hideMark/>
          </w:tcPr>
          <w:p w14:paraId="111911E3" w14:textId="104C6B70" w:rsidR="00C9208D" w:rsidRPr="00C9208D" w:rsidRDefault="00235D29" w:rsidP="00235D29">
            <w:pPr>
              <w:jc w:val="center"/>
              <w:rPr>
                <w:rFonts w:ascii="Calibri" w:eastAsia="Times New Roman" w:hAnsi="Calibri" w:cs="Times New Roman"/>
                <w:color w:val="000000"/>
              </w:rPr>
            </w:pPr>
            <w:r w:rsidRPr="00235D29">
              <w:rPr>
                <w:rFonts w:ascii="Calibri" w:eastAsia="Times New Roman" w:hAnsi="Calibri" w:cs="Times New Roman"/>
                <w:b/>
                <w:bCs/>
                <w:i/>
                <w:iCs/>
                <w:color w:val="000000"/>
                <w:u w:val="single"/>
              </w:rPr>
              <w:t>Industry</w:t>
            </w:r>
          </w:p>
        </w:tc>
        <w:tc>
          <w:tcPr>
            <w:tcW w:w="1060" w:type="dxa"/>
            <w:noWrap/>
            <w:hideMark/>
          </w:tcPr>
          <w:p w14:paraId="09CFEBEA" w14:textId="77777777" w:rsidR="00C9208D" w:rsidRPr="00235D29" w:rsidRDefault="00C9208D" w:rsidP="0083649A">
            <w:pPr>
              <w:jc w:val="center"/>
              <w:rPr>
                <w:rFonts w:ascii="Calibri" w:eastAsia="Times New Roman" w:hAnsi="Calibri" w:cs="Times New Roman"/>
                <w:b/>
                <w:bCs/>
                <w:i/>
                <w:iCs/>
                <w:color w:val="000000"/>
                <w:u w:val="single"/>
              </w:rPr>
            </w:pPr>
            <w:r w:rsidRPr="00235D29">
              <w:rPr>
                <w:rFonts w:ascii="Calibri" w:eastAsia="Times New Roman" w:hAnsi="Calibri" w:cs="Times New Roman"/>
                <w:b/>
                <w:bCs/>
                <w:i/>
                <w:iCs/>
                <w:color w:val="000000"/>
                <w:u w:val="single"/>
              </w:rPr>
              <w:t>2022</w:t>
            </w:r>
          </w:p>
        </w:tc>
        <w:tc>
          <w:tcPr>
            <w:tcW w:w="1060" w:type="dxa"/>
            <w:noWrap/>
            <w:hideMark/>
          </w:tcPr>
          <w:p w14:paraId="089A1733" w14:textId="77777777" w:rsidR="00C9208D" w:rsidRPr="00235D29" w:rsidRDefault="00C9208D" w:rsidP="0083649A">
            <w:pPr>
              <w:jc w:val="center"/>
              <w:rPr>
                <w:rFonts w:ascii="Calibri" w:eastAsia="Times New Roman" w:hAnsi="Calibri" w:cs="Times New Roman"/>
                <w:b/>
                <w:bCs/>
                <w:i/>
                <w:iCs/>
                <w:color w:val="000000"/>
                <w:u w:val="single"/>
              </w:rPr>
            </w:pPr>
            <w:r w:rsidRPr="00235D29">
              <w:rPr>
                <w:rFonts w:ascii="Calibri" w:eastAsia="Times New Roman" w:hAnsi="Calibri" w:cs="Times New Roman"/>
                <w:b/>
                <w:bCs/>
                <w:i/>
                <w:iCs/>
                <w:color w:val="000000"/>
                <w:u w:val="single"/>
              </w:rPr>
              <w:t>2023</w:t>
            </w:r>
          </w:p>
        </w:tc>
      </w:tr>
      <w:tr w:rsidR="00C9208D" w:rsidRPr="00C9208D" w14:paraId="3EE30225" w14:textId="77777777" w:rsidTr="0083649A">
        <w:trPr>
          <w:trHeight w:val="300"/>
        </w:trPr>
        <w:tc>
          <w:tcPr>
            <w:tcW w:w="6978" w:type="dxa"/>
            <w:noWrap/>
            <w:hideMark/>
          </w:tcPr>
          <w:p w14:paraId="23751F2B" w14:textId="77777777" w:rsidR="00C9208D" w:rsidRPr="00C9208D" w:rsidRDefault="00C9208D" w:rsidP="00C9208D">
            <w:pPr>
              <w:rPr>
                <w:rFonts w:ascii="Calibri" w:eastAsia="Times New Roman" w:hAnsi="Calibri" w:cs="Times New Roman"/>
                <w:color w:val="000000"/>
              </w:rPr>
            </w:pPr>
            <w:r w:rsidRPr="00C9208D">
              <w:rPr>
                <w:rFonts w:ascii="Calibri" w:eastAsia="Times New Roman" w:hAnsi="Calibri" w:cs="Times New Roman"/>
                <w:color w:val="000000"/>
              </w:rPr>
              <w:t>Local government</w:t>
            </w:r>
          </w:p>
        </w:tc>
        <w:tc>
          <w:tcPr>
            <w:tcW w:w="1060" w:type="dxa"/>
            <w:noWrap/>
            <w:hideMark/>
          </w:tcPr>
          <w:p w14:paraId="5F396BC4" w14:textId="77777777" w:rsidR="00C9208D" w:rsidRPr="00C9208D" w:rsidRDefault="00C9208D" w:rsidP="00C9208D">
            <w:pPr>
              <w:jc w:val="right"/>
              <w:rPr>
                <w:rFonts w:ascii="Calibri" w:eastAsia="Times New Roman" w:hAnsi="Calibri" w:cs="Times New Roman"/>
                <w:color w:val="000000"/>
              </w:rPr>
            </w:pPr>
            <w:r w:rsidRPr="00C9208D">
              <w:rPr>
                <w:rFonts w:ascii="Calibri" w:eastAsia="Times New Roman" w:hAnsi="Calibri" w:cs="Times New Roman"/>
                <w:color w:val="000000"/>
              </w:rPr>
              <w:t>7</w:t>
            </w:r>
          </w:p>
        </w:tc>
        <w:tc>
          <w:tcPr>
            <w:tcW w:w="1060" w:type="dxa"/>
            <w:noWrap/>
            <w:hideMark/>
          </w:tcPr>
          <w:p w14:paraId="38E8326B" w14:textId="77777777" w:rsidR="00C9208D" w:rsidRPr="00C9208D" w:rsidRDefault="00C9208D" w:rsidP="00C9208D">
            <w:pPr>
              <w:jc w:val="right"/>
              <w:rPr>
                <w:rFonts w:ascii="Calibri" w:eastAsia="Times New Roman" w:hAnsi="Calibri" w:cs="Times New Roman"/>
                <w:color w:val="000000"/>
              </w:rPr>
            </w:pPr>
            <w:r w:rsidRPr="00C9208D">
              <w:rPr>
                <w:rFonts w:ascii="Calibri" w:eastAsia="Times New Roman" w:hAnsi="Calibri" w:cs="Times New Roman"/>
                <w:color w:val="000000"/>
              </w:rPr>
              <w:t>4</w:t>
            </w:r>
          </w:p>
        </w:tc>
      </w:tr>
      <w:tr w:rsidR="00C9208D" w:rsidRPr="00C9208D" w14:paraId="2CF84A42" w14:textId="77777777" w:rsidTr="0083649A">
        <w:trPr>
          <w:trHeight w:val="300"/>
        </w:trPr>
        <w:tc>
          <w:tcPr>
            <w:tcW w:w="6978" w:type="dxa"/>
            <w:noWrap/>
            <w:hideMark/>
          </w:tcPr>
          <w:p w14:paraId="25D62607" w14:textId="77777777" w:rsidR="00C9208D" w:rsidRPr="00C9208D" w:rsidRDefault="00C9208D" w:rsidP="00C9208D">
            <w:pPr>
              <w:rPr>
                <w:rFonts w:ascii="Calibri" w:eastAsia="Times New Roman" w:hAnsi="Calibri" w:cs="Times New Roman"/>
                <w:color w:val="000000"/>
              </w:rPr>
            </w:pPr>
            <w:r w:rsidRPr="00C9208D">
              <w:rPr>
                <w:rFonts w:ascii="Calibri" w:eastAsia="Times New Roman" w:hAnsi="Calibri" w:cs="Times New Roman"/>
                <w:color w:val="000000"/>
              </w:rPr>
              <w:t xml:space="preserve">Administrative and support and waste management and remediation services </w:t>
            </w:r>
          </w:p>
        </w:tc>
        <w:tc>
          <w:tcPr>
            <w:tcW w:w="1060" w:type="dxa"/>
            <w:noWrap/>
            <w:hideMark/>
          </w:tcPr>
          <w:p w14:paraId="237D9331" w14:textId="77777777" w:rsidR="00C9208D" w:rsidRPr="00C9208D" w:rsidRDefault="00C9208D" w:rsidP="00C9208D">
            <w:pPr>
              <w:jc w:val="right"/>
              <w:rPr>
                <w:rFonts w:ascii="Calibri" w:eastAsia="Times New Roman" w:hAnsi="Calibri" w:cs="Times New Roman"/>
                <w:color w:val="000000"/>
              </w:rPr>
            </w:pPr>
            <w:r w:rsidRPr="00C9208D">
              <w:rPr>
                <w:rFonts w:ascii="Calibri" w:eastAsia="Times New Roman" w:hAnsi="Calibri" w:cs="Times New Roman"/>
                <w:color w:val="000000"/>
              </w:rPr>
              <w:t>11</w:t>
            </w:r>
          </w:p>
        </w:tc>
        <w:tc>
          <w:tcPr>
            <w:tcW w:w="1060" w:type="dxa"/>
            <w:noWrap/>
            <w:hideMark/>
          </w:tcPr>
          <w:p w14:paraId="23847E91" w14:textId="77777777" w:rsidR="00C9208D" w:rsidRPr="00C9208D" w:rsidRDefault="00C9208D" w:rsidP="00C9208D">
            <w:pPr>
              <w:jc w:val="right"/>
              <w:rPr>
                <w:rFonts w:ascii="Calibri" w:eastAsia="Times New Roman" w:hAnsi="Calibri" w:cs="Times New Roman"/>
                <w:color w:val="000000"/>
              </w:rPr>
            </w:pPr>
            <w:r w:rsidRPr="00C9208D">
              <w:rPr>
                <w:rFonts w:ascii="Calibri" w:eastAsia="Times New Roman" w:hAnsi="Calibri" w:cs="Times New Roman"/>
                <w:color w:val="000000"/>
              </w:rPr>
              <w:t>9</w:t>
            </w:r>
          </w:p>
        </w:tc>
      </w:tr>
      <w:tr w:rsidR="00C9208D" w:rsidRPr="00C9208D" w14:paraId="17AAC165" w14:textId="77777777" w:rsidTr="0083649A">
        <w:trPr>
          <w:trHeight w:val="300"/>
        </w:trPr>
        <w:tc>
          <w:tcPr>
            <w:tcW w:w="6978" w:type="dxa"/>
            <w:noWrap/>
            <w:hideMark/>
          </w:tcPr>
          <w:p w14:paraId="4C4587B0" w14:textId="77777777" w:rsidR="00C9208D" w:rsidRPr="00C9208D" w:rsidRDefault="00C9208D" w:rsidP="00C9208D">
            <w:pPr>
              <w:rPr>
                <w:rFonts w:ascii="Calibri" w:eastAsia="Times New Roman" w:hAnsi="Calibri" w:cs="Times New Roman"/>
                <w:color w:val="000000"/>
              </w:rPr>
            </w:pPr>
            <w:r w:rsidRPr="00C9208D">
              <w:rPr>
                <w:rFonts w:ascii="Calibri" w:eastAsia="Times New Roman" w:hAnsi="Calibri" w:cs="Times New Roman"/>
                <w:color w:val="000000"/>
              </w:rPr>
              <w:t>Construction</w:t>
            </w:r>
          </w:p>
        </w:tc>
        <w:tc>
          <w:tcPr>
            <w:tcW w:w="1060" w:type="dxa"/>
            <w:noWrap/>
            <w:hideMark/>
          </w:tcPr>
          <w:p w14:paraId="2273503E" w14:textId="77777777" w:rsidR="00C9208D" w:rsidRPr="00C9208D" w:rsidRDefault="00C9208D" w:rsidP="00C9208D">
            <w:pPr>
              <w:jc w:val="right"/>
              <w:rPr>
                <w:rFonts w:ascii="Calibri" w:eastAsia="Times New Roman" w:hAnsi="Calibri" w:cs="Times New Roman"/>
                <w:color w:val="000000"/>
              </w:rPr>
            </w:pPr>
            <w:r w:rsidRPr="00C9208D">
              <w:rPr>
                <w:rFonts w:ascii="Calibri" w:eastAsia="Times New Roman" w:hAnsi="Calibri" w:cs="Times New Roman"/>
                <w:color w:val="000000"/>
              </w:rPr>
              <w:t>16</w:t>
            </w:r>
          </w:p>
        </w:tc>
        <w:tc>
          <w:tcPr>
            <w:tcW w:w="1060" w:type="dxa"/>
            <w:noWrap/>
            <w:hideMark/>
          </w:tcPr>
          <w:p w14:paraId="3CDA242E" w14:textId="77777777" w:rsidR="00C9208D" w:rsidRPr="00C9208D" w:rsidRDefault="00C9208D" w:rsidP="00C9208D">
            <w:pPr>
              <w:jc w:val="right"/>
              <w:rPr>
                <w:rFonts w:ascii="Calibri" w:eastAsia="Times New Roman" w:hAnsi="Calibri" w:cs="Times New Roman"/>
                <w:color w:val="000000"/>
              </w:rPr>
            </w:pPr>
            <w:r w:rsidRPr="00C9208D">
              <w:rPr>
                <w:rFonts w:ascii="Calibri" w:eastAsia="Times New Roman" w:hAnsi="Calibri" w:cs="Times New Roman"/>
                <w:color w:val="000000"/>
              </w:rPr>
              <w:t>15</w:t>
            </w:r>
          </w:p>
        </w:tc>
      </w:tr>
      <w:tr w:rsidR="00C9208D" w:rsidRPr="00C9208D" w14:paraId="0FC04750" w14:textId="77777777" w:rsidTr="0083649A">
        <w:trPr>
          <w:trHeight w:val="300"/>
        </w:trPr>
        <w:tc>
          <w:tcPr>
            <w:tcW w:w="6978" w:type="dxa"/>
            <w:noWrap/>
            <w:hideMark/>
          </w:tcPr>
          <w:p w14:paraId="0CC9FA83" w14:textId="77777777" w:rsidR="00C9208D" w:rsidRPr="00C9208D" w:rsidRDefault="00C9208D" w:rsidP="00C9208D">
            <w:pPr>
              <w:rPr>
                <w:rFonts w:ascii="Calibri" w:eastAsia="Times New Roman" w:hAnsi="Calibri" w:cs="Times New Roman"/>
                <w:color w:val="000000"/>
              </w:rPr>
            </w:pPr>
            <w:r w:rsidRPr="00C9208D">
              <w:rPr>
                <w:rFonts w:ascii="Calibri" w:eastAsia="Times New Roman" w:hAnsi="Calibri" w:cs="Times New Roman"/>
                <w:color w:val="000000"/>
              </w:rPr>
              <w:t>Transportation and warehousing</w:t>
            </w:r>
          </w:p>
        </w:tc>
        <w:tc>
          <w:tcPr>
            <w:tcW w:w="1060" w:type="dxa"/>
            <w:noWrap/>
            <w:hideMark/>
          </w:tcPr>
          <w:p w14:paraId="3B9C3D9F" w14:textId="77777777" w:rsidR="00C9208D" w:rsidRPr="00C9208D" w:rsidRDefault="00C9208D" w:rsidP="00C9208D">
            <w:pPr>
              <w:jc w:val="right"/>
              <w:rPr>
                <w:rFonts w:ascii="Calibri" w:eastAsia="Times New Roman" w:hAnsi="Calibri" w:cs="Times New Roman"/>
                <w:color w:val="000000"/>
              </w:rPr>
            </w:pPr>
            <w:r w:rsidRPr="00C9208D">
              <w:rPr>
                <w:rFonts w:ascii="Calibri" w:eastAsia="Times New Roman" w:hAnsi="Calibri" w:cs="Times New Roman"/>
                <w:color w:val="000000"/>
              </w:rPr>
              <w:t>12</w:t>
            </w:r>
          </w:p>
        </w:tc>
        <w:tc>
          <w:tcPr>
            <w:tcW w:w="1060" w:type="dxa"/>
            <w:noWrap/>
            <w:hideMark/>
          </w:tcPr>
          <w:p w14:paraId="73F4C1EB" w14:textId="77777777" w:rsidR="00C9208D" w:rsidRPr="00C9208D" w:rsidRDefault="00C9208D" w:rsidP="00C9208D">
            <w:pPr>
              <w:jc w:val="right"/>
              <w:rPr>
                <w:rFonts w:ascii="Calibri" w:eastAsia="Times New Roman" w:hAnsi="Calibri" w:cs="Times New Roman"/>
                <w:color w:val="000000"/>
              </w:rPr>
            </w:pPr>
            <w:r w:rsidRPr="00C9208D">
              <w:rPr>
                <w:rFonts w:ascii="Calibri" w:eastAsia="Times New Roman" w:hAnsi="Calibri" w:cs="Times New Roman"/>
                <w:color w:val="000000"/>
              </w:rPr>
              <w:t>17</w:t>
            </w:r>
          </w:p>
        </w:tc>
      </w:tr>
    </w:tbl>
    <w:p w14:paraId="50F899EB" w14:textId="54C3D554" w:rsidR="0052069A" w:rsidRDefault="0052069A" w:rsidP="0052069A">
      <w:pPr>
        <w:rPr>
          <w:rFonts w:ascii="Times New Roman" w:hAnsi="Times New Roman" w:cs="Times New Roman"/>
          <w:sz w:val="20"/>
        </w:rPr>
      </w:pPr>
      <w:r w:rsidRPr="00AF3BDB">
        <w:rPr>
          <w:rFonts w:ascii="Times New Roman" w:hAnsi="Times New Roman" w:cs="Times New Roman"/>
          <w:sz w:val="20"/>
        </w:rPr>
        <w:t>Source: Maryland Division of Labor and Industry in cooperation with the U.S. Bureau of Labor Statistics, CFOI Program, December 202</w:t>
      </w:r>
      <w:r>
        <w:rPr>
          <w:rFonts w:ascii="Times New Roman" w:hAnsi="Times New Roman" w:cs="Times New Roman"/>
          <w:sz w:val="20"/>
        </w:rPr>
        <w:t>4</w:t>
      </w:r>
      <w:r w:rsidRPr="00AF3BDB">
        <w:rPr>
          <w:rFonts w:ascii="Times New Roman" w:hAnsi="Times New Roman" w:cs="Times New Roman"/>
          <w:sz w:val="20"/>
        </w:rPr>
        <w:t xml:space="preserve">. </w:t>
      </w:r>
    </w:p>
    <w:bookmarkEnd w:id="1"/>
    <w:p w14:paraId="28DFC38B" w14:textId="611DA973" w:rsidR="0086613B" w:rsidRPr="000B5548" w:rsidRDefault="0086613B" w:rsidP="000B5548">
      <w:pPr>
        <w:spacing w:before="240" w:after="0" w:line="240" w:lineRule="auto"/>
        <w:rPr>
          <w:rFonts w:ascii="Times New Roman" w:hAnsi="Times New Roman" w:cs="Times New Roman"/>
          <w:b/>
          <w:sz w:val="24"/>
          <w:szCs w:val="24"/>
        </w:rPr>
      </w:pPr>
      <w:r w:rsidRPr="00450B5C">
        <w:rPr>
          <w:rFonts w:ascii="Times New Roman" w:hAnsi="Times New Roman" w:cs="Times New Roman"/>
          <w:b/>
          <w:sz w:val="24"/>
          <w:szCs w:val="24"/>
        </w:rPr>
        <w:t xml:space="preserve">Occupation </w:t>
      </w:r>
    </w:p>
    <w:p w14:paraId="30AA77AE" w14:textId="53C7D4F4" w:rsidR="00FE3B45" w:rsidRDefault="00904C7A">
      <w:pPr>
        <w:rPr>
          <w:rFonts w:ascii="Times New Roman" w:hAnsi="Times New Roman" w:cs="Times New Roman"/>
          <w:sz w:val="24"/>
          <w:szCs w:val="24"/>
        </w:rPr>
      </w:pPr>
      <w:r>
        <w:rPr>
          <w:rFonts w:ascii="Times New Roman" w:hAnsi="Times New Roman" w:cs="Times New Roman"/>
          <w:sz w:val="24"/>
          <w:szCs w:val="24"/>
        </w:rPr>
        <w:t xml:space="preserve">Transportation and </w:t>
      </w:r>
      <w:r w:rsidR="007A5037">
        <w:rPr>
          <w:rFonts w:ascii="Times New Roman" w:hAnsi="Times New Roman" w:cs="Times New Roman"/>
          <w:sz w:val="24"/>
          <w:szCs w:val="24"/>
        </w:rPr>
        <w:t>m</w:t>
      </w:r>
      <w:r>
        <w:rPr>
          <w:rFonts w:ascii="Times New Roman" w:hAnsi="Times New Roman" w:cs="Times New Roman"/>
          <w:sz w:val="24"/>
          <w:szCs w:val="24"/>
        </w:rPr>
        <w:t xml:space="preserve">aterial </w:t>
      </w:r>
      <w:r w:rsidR="00A3409D">
        <w:rPr>
          <w:rFonts w:ascii="Times New Roman" w:hAnsi="Times New Roman" w:cs="Times New Roman"/>
          <w:sz w:val="24"/>
          <w:szCs w:val="24"/>
        </w:rPr>
        <w:t>m</w:t>
      </w:r>
      <w:r>
        <w:rPr>
          <w:rFonts w:ascii="Times New Roman" w:hAnsi="Times New Roman" w:cs="Times New Roman"/>
          <w:sz w:val="24"/>
          <w:szCs w:val="24"/>
        </w:rPr>
        <w:t xml:space="preserve">oving </w:t>
      </w:r>
      <w:r w:rsidR="00A3409D">
        <w:rPr>
          <w:rFonts w:ascii="Times New Roman" w:hAnsi="Times New Roman" w:cs="Times New Roman"/>
          <w:sz w:val="24"/>
          <w:szCs w:val="24"/>
        </w:rPr>
        <w:t>o</w:t>
      </w:r>
      <w:r>
        <w:rPr>
          <w:rFonts w:ascii="Times New Roman" w:hAnsi="Times New Roman" w:cs="Times New Roman"/>
          <w:sz w:val="24"/>
          <w:szCs w:val="24"/>
        </w:rPr>
        <w:t xml:space="preserve">ccupations had the highest number of deaths </w:t>
      </w:r>
      <w:r w:rsidR="001E03BD">
        <w:rPr>
          <w:rFonts w:ascii="Times New Roman" w:hAnsi="Times New Roman" w:cs="Times New Roman"/>
          <w:sz w:val="24"/>
          <w:szCs w:val="24"/>
        </w:rPr>
        <w:t xml:space="preserve">in Maryland </w:t>
      </w:r>
      <w:r w:rsidR="00AB5810">
        <w:rPr>
          <w:rFonts w:ascii="Times New Roman" w:hAnsi="Times New Roman" w:cs="Times New Roman"/>
          <w:sz w:val="24"/>
          <w:szCs w:val="24"/>
        </w:rPr>
        <w:t xml:space="preserve">at 21, a decrease from 26 in 2022. </w:t>
      </w:r>
      <w:r w:rsidR="001E03BD" w:rsidRPr="001E03BD">
        <w:rPr>
          <w:rFonts w:ascii="Times New Roman" w:hAnsi="Times New Roman" w:cs="Times New Roman"/>
          <w:sz w:val="24"/>
          <w:szCs w:val="24"/>
        </w:rPr>
        <w:t>Workers in transportation and material moving occupations represented the occupational group with the most fatalities</w:t>
      </w:r>
      <w:r w:rsidR="001E03BD">
        <w:rPr>
          <w:rFonts w:ascii="Times New Roman" w:hAnsi="Times New Roman" w:cs="Times New Roman"/>
          <w:sz w:val="24"/>
          <w:szCs w:val="24"/>
        </w:rPr>
        <w:t xml:space="preserve"> nationally as well. </w:t>
      </w:r>
      <w:r w:rsidR="00AB5810">
        <w:rPr>
          <w:rFonts w:ascii="Times New Roman" w:hAnsi="Times New Roman" w:cs="Times New Roman"/>
          <w:sz w:val="24"/>
          <w:szCs w:val="24"/>
        </w:rPr>
        <w:t>The</w:t>
      </w:r>
      <w:r w:rsidR="00B739B8">
        <w:rPr>
          <w:rFonts w:ascii="Times New Roman" w:hAnsi="Times New Roman" w:cs="Times New Roman"/>
          <w:sz w:val="24"/>
          <w:szCs w:val="24"/>
        </w:rPr>
        <w:t xml:space="preserve"> occupational group with the</w:t>
      </w:r>
      <w:r>
        <w:rPr>
          <w:rFonts w:ascii="Times New Roman" w:hAnsi="Times New Roman" w:cs="Times New Roman"/>
          <w:sz w:val="24"/>
          <w:szCs w:val="24"/>
        </w:rPr>
        <w:t xml:space="preserve"> second </w:t>
      </w:r>
      <w:r w:rsidR="00AB5810">
        <w:rPr>
          <w:rFonts w:ascii="Times New Roman" w:hAnsi="Times New Roman" w:cs="Times New Roman"/>
          <w:sz w:val="24"/>
          <w:szCs w:val="24"/>
        </w:rPr>
        <w:t xml:space="preserve">highest </w:t>
      </w:r>
      <w:r w:rsidR="00B739B8">
        <w:rPr>
          <w:rFonts w:ascii="Times New Roman" w:hAnsi="Times New Roman" w:cs="Times New Roman"/>
          <w:sz w:val="24"/>
          <w:szCs w:val="24"/>
        </w:rPr>
        <w:t xml:space="preserve">number of fatal work injuries </w:t>
      </w:r>
      <w:r w:rsidR="001E03BD">
        <w:rPr>
          <w:rFonts w:ascii="Times New Roman" w:hAnsi="Times New Roman" w:cs="Times New Roman"/>
          <w:sz w:val="24"/>
          <w:szCs w:val="24"/>
        </w:rPr>
        <w:t xml:space="preserve">in Maryland </w:t>
      </w:r>
      <w:r>
        <w:rPr>
          <w:rFonts w:ascii="Times New Roman" w:hAnsi="Times New Roman" w:cs="Times New Roman"/>
          <w:sz w:val="24"/>
          <w:szCs w:val="24"/>
        </w:rPr>
        <w:t xml:space="preserve">was </w:t>
      </w:r>
      <w:r w:rsidR="00B739B8">
        <w:rPr>
          <w:rFonts w:ascii="Times New Roman" w:hAnsi="Times New Roman" w:cs="Times New Roman"/>
          <w:sz w:val="24"/>
          <w:szCs w:val="24"/>
        </w:rPr>
        <w:t>c</w:t>
      </w:r>
      <w:r>
        <w:rPr>
          <w:rFonts w:ascii="Times New Roman" w:hAnsi="Times New Roman" w:cs="Times New Roman"/>
          <w:sz w:val="24"/>
          <w:szCs w:val="24"/>
        </w:rPr>
        <w:t xml:space="preserve">onstruction and extraction occupations </w:t>
      </w:r>
      <w:r w:rsidR="00AB5810">
        <w:rPr>
          <w:rFonts w:ascii="Times New Roman" w:hAnsi="Times New Roman" w:cs="Times New Roman"/>
          <w:sz w:val="24"/>
          <w:szCs w:val="24"/>
        </w:rPr>
        <w:t>at 15</w:t>
      </w:r>
      <w:r w:rsidR="00B739B8">
        <w:rPr>
          <w:rFonts w:ascii="Times New Roman" w:hAnsi="Times New Roman" w:cs="Times New Roman"/>
          <w:sz w:val="24"/>
          <w:szCs w:val="24"/>
        </w:rPr>
        <w:t>, compared to 11 in 2022</w:t>
      </w:r>
      <w:r w:rsidR="00AB5810">
        <w:rPr>
          <w:rFonts w:ascii="Times New Roman" w:hAnsi="Times New Roman" w:cs="Times New Roman"/>
          <w:sz w:val="24"/>
          <w:szCs w:val="24"/>
        </w:rPr>
        <w:t xml:space="preserve">. </w:t>
      </w:r>
      <w:r>
        <w:rPr>
          <w:rFonts w:ascii="Times New Roman" w:hAnsi="Times New Roman" w:cs="Times New Roman"/>
          <w:sz w:val="24"/>
          <w:szCs w:val="24"/>
        </w:rPr>
        <w:t>Protective service occupations and installation, maintenance</w:t>
      </w:r>
      <w:r w:rsidR="00B739B8">
        <w:rPr>
          <w:rFonts w:ascii="Times New Roman" w:hAnsi="Times New Roman" w:cs="Times New Roman"/>
          <w:sz w:val="24"/>
          <w:szCs w:val="24"/>
        </w:rPr>
        <w:t>,</w:t>
      </w:r>
      <w:r>
        <w:rPr>
          <w:rFonts w:ascii="Times New Roman" w:hAnsi="Times New Roman" w:cs="Times New Roman"/>
          <w:sz w:val="24"/>
          <w:szCs w:val="24"/>
        </w:rPr>
        <w:t xml:space="preserve"> and repair occupations were tied for </w:t>
      </w:r>
      <w:r w:rsidR="00B739B8">
        <w:rPr>
          <w:rFonts w:ascii="Times New Roman" w:hAnsi="Times New Roman" w:cs="Times New Roman"/>
          <w:sz w:val="24"/>
          <w:szCs w:val="24"/>
        </w:rPr>
        <w:t xml:space="preserve">third </w:t>
      </w:r>
      <w:r w:rsidR="00AB5810">
        <w:rPr>
          <w:rFonts w:ascii="Times New Roman" w:hAnsi="Times New Roman" w:cs="Times New Roman"/>
          <w:sz w:val="24"/>
          <w:szCs w:val="24"/>
        </w:rPr>
        <w:t xml:space="preserve">with </w:t>
      </w:r>
      <w:r w:rsidR="007A5037">
        <w:rPr>
          <w:rFonts w:ascii="Times New Roman" w:hAnsi="Times New Roman" w:cs="Times New Roman"/>
          <w:sz w:val="24"/>
          <w:szCs w:val="24"/>
        </w:rPr>
        <w:t>eight f</w:t>
      </w:r>
      <w:r w:rsidR="00AB5810">
        <w:rPr>
          <w:rFonts w:ascii="Times New Roman" w:hAnsi="Times New Roman" w:cs="Times New Roman"/>
          <w:sz w:val="24"/>
          <w:szCs w:val="24"/>
        </w:rPr>
        <w:t xml:space="preserve">atalities. In 2022, </w:t>
      </w:r>
      <w:r w:rsidR="00B739B8">
        <w:rPr>
          <w:rFonts w:ascii="Times New Roman" w:hAnsi="Times New Roman" w:cs="Times New Roman"/>
          <w:sz w:val="24"/>
          <w:szCs w:val="24"/>
        </w:rPr>
        <w:t>p</w:t>
      </w:r>
      <w:r w:rsidR="00AB5810">
        <w:rPr>
          <w:rFonts w:ascii="Times New Roman" w:hAnsi="Times New Roman" w:cs="Times New Roman"/>
          <w:sz w:val="24"/>
          <w:szCs w:val="24"/>
        </w:rPr>
        <w:t>rotective service occupations accounted for 11 fatalities while installation, maintenance</w:t>
      </w:r>
      <w:r w:rsidR="00B739B8">
        <w:rPr>
          <w:rFonts w:ascii="Times New Roman" w:hAnsi="Times New Roman" w:cs="Times New Roman"/>
          <w:sz w:val="24"/>
          <w:szCs w:val="24"/>
        </w:rPr>
        <w:t>,</w:t>
      </w:r>
      <w:r w:rsidR="00AB5810">
        <w:rPr>
          <w:rFonts w:ascii="Times New Roman" w:hAnsi="Times New Roman" w:cs="Times New Roman"/>
          <w:sz w:val="24"/>
          <w:szCs w:val="24"/>
        </w:rPr>
        <w:t xml:space="preserve"> and </w:t>
      </w:r>
      <w:r w:rsidR="00AB5810">
        <w:rPr>
          <w:rFonts w:ascii="Times New Roman" w:hAnsi="Times New Roman" w:cs="Times New Roman"/>
          <w:sz w:val="24"/>
          <w:szCs w:val="24"/>
        </w:rPr>
        <w:lastRenderedPageBreak/>
        <w:t>repair occupations accounted for 8.</w:t>
      </w:r>
      <w:r w:rsidR="00235D29" w:rsidRPr="00235D29">
        <w:rPr>
          <w:rFonts w:ascii="Times New Roman" w:hAnsi="Times New Roman" w:cs="Times New Roman"/>
          <w:noProof/>
          <w:sz w:val="24"/>
          <w:szCs w:val="24"/>
        </w:rPr>
        <w:t xml:space="preserve"> </w:t>
      </w:r>
      <w:r w:rsidR="00235D29">
        <w:rPr>
          <w:rFonts w:ascii="Times New Roman" w:hAnsi="Times New Roman" w:cs="Times New Roman"/>
          <w:noProof/>
          <w:sz w:val="24"/>
          <w:szCs w:val="24"/>
        </w:rPr>
        <w:drawing>
          <wp:inline distT="0" distB="0" distL="0" distR="0" wp14:anchorId="2793122B" wp14:editId="502CD1CA">
            <wp:extent cx="5486400" cy="3200400"/>
            <wp:effectExtent l="0" t="0" r="0" b="0"/>
            <wp:docPr id="1" name="Char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29793BF" w14:textId="5B356019" w:rsidR="007308F5" w:rsidRPr="007308F5" w:rsidRDefault="007308F5" w:rsidP="007308F5">
      <w:pPr>
        <w:pStyle w:val="Caption"/>
        <w:keepNext/>
        <w:rPr>
          <w:rFonts w:ascii="Times New Roman" w:hAnsi="Times New Roman" w:cs="Times New Roman"/>
          <w:sz w:val="24"/>
          <w:szCs w:val="24"/>
        </w:rPr>
      </w:pPr>
      <w:r w:rsidRPr="007308F5">
        <w:rPr>
          <w:rFonts w:ascii="Times New Roman" w:hAnsi="Times New Roman" w:cs="Times New Roman"/>
          <w:sz w:val="24"/>
          <w:szCs w:val="24"/>
        </w:rPr>
        <w:t xml:space="preserve">Table </w:t>
      </w:r>
      <w:r w:rsidRPr="007308F5">
        <w:rPr>
          <w:rFonts w:ascii="Times New Roman" w:hAnsi="Times New Roman" w:cs="Times New Roman"/>
          <w:sz w:val="24"/>
          <w:szCs w:val="24"/>
        </w:rPr>
        <w:fldChar w:fldCharType="begin"/>
      </w:r>
      <w:r w:rsidRPr="007308F5">
        <w:rPr>
          <w:rFonts w:ascii="Times New Roman" w:hAnsi="Times New Roman" w:cs="Times New Roman"/>
          <w:sz w:val="24"/>
          <w:szCs w:val="24"/>
        </w:rPr>
        <w:instrText xml:space="preserve"> SEQ Table \* ARABIC </w:instrText>
      </w:r>
      <w:r w:rsidRPr="007308F5">
        <w:rPr>
          <w:rFonts w:ascii="Times New Roman" w:hAnsi="Times New Roman" w:cs="Times New Roman"/>
          <w:sz w:val="24"/>
          <w:szCs w:val="24"/>
        </w:rPr>
        <w:fldChar w:fldCharType="separate"/>
      </w:r>
      <w:r w:rsidRPr="007308F5">
        <w:rPr>
          <w:rFonts w:ascii="Times New Roman" w:hAnsi="Times New Roman" w:cs="Times New Roman"/>
          <w:noProof/>
          <w:sz w:val="24"/>
          <w:szCs w:val="24"/>
        </w:rPr>
        <w:t>4</w:t>
      </w:r>
      <w:r w:rsidRPr="007308F5">
        <w:rPr>
          <w:rFonts w:ascii="Times New Roman" w:hAnsi="Times New Roman" w:cs="Times New Roman"/>
          <w:sz w:val="24"/>
          <w:szCs w:val="24"/>
        </w:rPr>
        <w:fldChar w:fldCharType="end"/>
      </w:r>
      <w:r w:rsidRPr="007308F5">
        <w:rPr>
          <w:rFonts w:ascii="Times New Roman" w:hAnsi="Times New Roman" w:cs="Times New Roman"/>
          <w:sz w:val="24"/>
          <w:szCs w:val="24"/>
        </w:rPr>
        <w:t>- Selected Occupations with the Highest Number of Fatal Injuries, Maryland, 2023 vs 2022</w:t>
      </w:r>
    </w:p>
    <w:tbl>
      <w:tblPr>
        <w:tblStyle w:val="TableGrid"/>
        <w:tblW w:w="6540" w:type="dxa"/>
        <w:tblLook w:val="04A0" w:firstRow="1" w:lastRow="0" w:firstColumn="1" w:lastColumn="0" w:noHBand="0" w:noVBand="1"/>
      </w:tblPr>
      <w:tblGrid>
        <w:gridCol w:w="4420"/>
        <w:gridCol w:w="1060"/>
        <w:gridCol w:w="1060"/>
      </w:tblGrid>
      <w:tr w:rsidR="0083649A" w:rsidRPr="0083649A" w14:paraId="161579A3" w14:textId="77777777" w:rsidTr="0083649A">
        <w:trPr>
          <w:trHeight w:val="300"/>
        </w:trPr>
        <w:tc>
          <w:tcPr>
            <w:tcW w:w="4420" w:type="dxa"/>
            <w:noWrap/>
            <w:hideMark/>
          </w:tcPr>
          <w:p w14:paraId="55240EF8" w14:textId="4C039CAB" w:rsidR="0083649A" w:rsidRPr="007308F5" w:rsidRDefault="007308F5" w:rsidP="007308F5">
            <w:pPr>
              <w:jc w:val="center"/>
              <w:rPr>
                <w:rFonts w:ascii="Calibri" w:eastAsia="Times New Roman" w:hAnsi="Calibri" w:cs="Times New Roman"/>
                <w:b/>
                <w:bCs/>
                <w:i/>
                <w:iCs/>
                <w:color w:val="000000"/>
                <w:u w:val="single"/>
              </w:rPr>
            </w:pPr>
            <w:r w:rsidRPr="007308F5">
              <w:rPr>
                <w:rFonts w:ascii="Calibri" w:eastAsia="Times New Roman" w:hAnsi="Calibri" w:cs="Times New Roman"/>
                <w:b/>
                <w:bCs/>
                <w:i/>
                <w:iCs/>
                <w:color w:val="000000"/>
                <w:u w:val="single"/>
              </w:rPr>
              <w:t>Industry</w:t>
            </w:r>
          </w:p>
        </w:tc>
        <w:tc>
          <w:tcPr>
            <w:tcW w:w="1060" w:type="dxa"/>
            <w:noWrap/>
            <w:hideMark/>
          </w:tcPr>
          <w:p w14:paraId="635F1510" w14:textId="7BED9A93" w:rsidR="0083649A" w:rsidRPr="007308F5" w:rsidRDefault="00331B2D" w:rsidP="007308F5">
            <w:pPr>
              <w:jc w:val="center"/>
              <w:rPr>
                <w:rFonts w:ascii="Calibri" w:eastAsia="Times New Roman" w:hAnsi="Calibri" w:cs="Times New Roman"/>
                <w:b/>
                <w:bCs/>
                <w:i/>
                <w:iCs/>
                <w:color w:val="000000"/>
                <w:u w:val="single"/>
              </w:rPr>
            </w:pPr>
            <w:r w:rsidRPr="007308F5">
              <w:rPr>
                <w:rFonts w:ascii="Calibri" w:eastAsia="Times New Roman" w:hAnsi="Calibri" w:cs="Times New Roman"/>
                <w:b/>
                <w:bCs/>
                <w:i/>
                <w:iCs/>
                <w:color w:val="000000"/>
                <w:u w:val="single"/>
              </w:rPr>
              <w:t>2022</w:t>
            </w:r>
          </w:p>
        </w:tc>
        <w:tc>
          <w:tcPr>
            <w:tcW w:w="1060" w:type="dxa"/>
            <w:noWrap/>
            <w:hideMark/>
          </w:tcPr>
          <w:p w14:paraId="51B7DFE7" w14:textId="45086502" w:rsidR="0083649A" w:rsidRPr="007308F5" w:rsidRDefault="00331B2D" w:rsidP="007308F5">
            <w:pPr>
              <w:jc w:val="center"/>
              <w:rPr>
                <w:rFonts w:ascii="Calibri" w:eastAsia="Times New Roman" w:hAnsi="Calibri" w:cs="Times New Roman"/>
                <w:b/>
                <w:bCs/>
                <w:i/>
                <w:iCs/>
                <w:color w:val="000000"/>
                <w:u w:val="single"/>
              </w:rPr>
            </w:pPr>
            <w:r w:rsidRPr="007308F5">
              <w:rPr>
                <w:rFonts w:ascii="Calibri" w:eastAsia="Times New Roman" w:hAnsi="Calibri" w:cs="Times New Roman"/>
                <w:b/>
                <w:bCs/>
                <w:i/>
                <w:iCs/>
                <w:color w:val="000000"/>
                <w:u w:val="single"/>
              </w:rPr>
              <w:t>2023</w:t>
            </w:r>
          </w:p>
        </w:tc>
      </w:tr>
      <w:tr w:rsidR="0083649A" w:rsidRPr="0083649A" w14:paraId="5214F69F" w14:textId="77777777" w:rsidTr="0083649A">
        <w:trPr>
          <w:trHeight w:val="315"/>
        </w:trPr>
        <w:tc>
          <w:tcPr>
            <w:tcW w:w="4420" w:type="dxa"/>
            <w:noWrap/>
            <w:hideMark/>
          </w:tcPr>
          <w:p w14:paraId="50E81816" w14:textId="77777777" w:rsidR="0083649A" w:rsidRPr="0083649A" w:rsidRDefault="0083649A" w:rsidP="0083649A">
            <w:pPr>
              <w:rPr>
                <w:rFonts w:eastAsia="Times New Roman" w:cs="Times New Roman"/>
                <w:color w:val="000000"/>
              </w:rPr>
            </w:pPr>
            <w:r w:rsidRPr="0083649A">
              <w:rPr>
                <w:rFonts w:eastAsia="Times New Roman" w:cs="Times New Roman"/>
                <w:color w:val="000000"/>
              </w:rPr>
              <w:t xml:space="preserve">Transportation and material moving </w:t>
            </w:r>
          </w:p>
        </w:tc>
        <w:tc>
          <w:tcPr>
            <w:tcW w:w="1060" w:type="dxa"/>
            <w:noWrap/>
            <w:hideMark/>
          </w:tcPr>
          <w:p w14:paraId="72F0F4D5" w14:textId="77777777" w:rsidR="0083649A" w:rsidRPr="0083649A" w:rsidRDefault="0083649A" w:rsidP="0083649A">
            <w:pPr>
              <w:jc w:val="right"/>
              <w:rPr>
                <w:rFonts w:eastAsia="Times New Roman" w:cs="Times New Roman"/>
                <w:color w:val="000000"/>
              </w:rPr>
            </w:pPr>
            <w:r w:rsidRPr="0083649A">
              <w:rPr>
                <w:rFonts w:eastAsia="Times New Roman" w:cs="Times New Roman"/>
                <w:color w:val="000000"/>
              </w:rPr>
              <w:t>21</w:t>
            </w:r>
          </w:p>
        </w:tc>
        <w:tc>
          <w:tcPr>
            <w:tcW w:w="1060" w:type="dxa"/>
            <w:noWrap/>
            <w:hideMark/>
          </w:tcPr>
          <w:p w14:paraId="20ED7E5A" w14:textId="77777777" w:rsidR="0083649A" w:rsidRPr="0083649A" w:rsidRDefault="0083649A" w:rsidP="0083649A">
            <w:pPr>
              <w:jc w:val="right"/>
              <w:rPr>
                <w:rFonts w:eastAsia="Times New Roman" w:cs="Times New Roman"/>
                <w:color w:val="000000"/>
              </w:rPr>
            </w:pPr>
            <w:r w:rsidRPr="0083649A">
              <w:rPr>
                <w:rFonts w:eastAsia="Times New Roman" w:cs="Times New Roman"/>
                <w:color w:val="000000"/>
              </w:rPr>
              <w:t>26</w:t>
            </w:r>
          </w:p>
        </w:tc>
      </w:tr>
      <w:tr w:rsidR="0083649A" w:rsidRPr="0083649A" w14:paraId="35C208D6" w14:textId="77777777" w:rsidTr="0083649A">
        <w:trPr>
          <w:trHeight w:val="315"/>
        </w:trPr>
        <w:tc>
          <w:tcPr>
            <w:tcW w:w="4420" w:type="dxa"/>
            <w:noWrap/>
            <w:hideMark/>
          </w:tcPr>
          <w:p w14:paraId="094606E2" w14:textId="77777777" w:rsidR="0083649A" w:rsidRPr="0083649A" w:rsidRDefault="0083649A" w:rsidP="0083649A">
            <w:pPr>
              <w:rPr>
                <w:rFonts w:eastAsia="Times New Roman" w:cs="Times New Roman"/>
                <w:color w:val="000000"/>
              </w:rPr>
            </w:pPr>
            <w:r w:rsidRPr="0083649A">
              <w:rPr>
                <w:rFonts w:eastAsia="Times New Roman" w:cs="Times New Roman"/>
                <w:color w:val="000000"/>
              </w:rPr>
              <w:t xml:space="preserve">Construction and extraction </w:t>
            </w:r>
          </w:p>
        </w:tc>
        <w:tc>
          <w:tcPr>
            <w:tcW w:w="1060" w:type="dxa"/>
            <w:noWrap/>
            <w:hideMark/>
          </w:tcPr>
          <w:p w14:paraId="5E82CCC3" w14:textId="77777777" w:rsidR="0083649A" w:rsidRPr="0083649A" w:rsidRDefault="0083649A" w:rsidP="0083649A">
            <w:pPr>
              <w:jc w:val="right"/>
              <w:rPr>
                <w:rFonts w:eastAsia="Times New Roman" w:cs="Times New Roman"/>
                <w:color w:val="000000"/>
              </w:rPr>
            </w:pPr>
            <w:r w:rsidRPr="0083649A">
              <w:rPr>
                <w:rFonts w:eastAsia="Times New Roman" w:cs="Times New Roman"/>
                <w:color w:val="000000"/>
              </w:rPr>
              <w:t>15</w:t>
            </w:r>
          </w:p>
        </w:tc>
        <w:tc>
          <w:tcPr>
            <w:tcW w:w="1060" w:type="dxa"/>
            <w:noWrap/>
            <w:hideMark/>
          </w:tcPr>
          <w:p w14:paraId="5AF64BAD" w14:textId="77777777" w:rsidR="0083649A" w:rsidRPr="0083649A" w:rsidRDefault="0083649A" w:rsidP="0083649A">
            <w:pPr>
              <w:jc w:val="right"/>
              <w:rPr>
                <w:rFonts w:eastAsia="Times New Roman" w:cs="Times New Roman"/>
                <w:color w:val="000000"/>
              </w:rPr>
            </w:pPr>
            <w:r w:rsidRPr="0083649A">
              <w:rPr>
                <w:rFonts w:eastAsia="Times New Roman" w:cs="Times New Roman"/>
                <w:color w:val="000000"/>
              </w:rPr>
              <w:t>11</w:t>
            </w:r>
          </w:p>
        </w:tc>
      </w:tr>
      <w:tr w:rsidR="0083649A" w:rsidRPr="0083649A" w14:paraId="386AF8C1" w14:textId="77777777" w:rsidTr="0083649A">
        <w:trPr>
          <w:trHeight w:val="315"/>
        </w:trPr>
        <w:tc>
          <w:tcPr>
            <w:tcW w:w="4420" w:type="dxa"/>
            <w:noWrap/>
            <w:hideMark/>
          </w:tcPr>
          <w:p w14:paraId="6FD9BD2D" w14:textId="77777777" w:rsidR="0083649A" w:rsidRPr="0083649A" w:rsidRDefault="0083649A" w:rsidP="0083649A">
            <w:pPr>
              <w:rPr>
                <w:rFonts w:eastAsia="Times New Roman" w:cs="Times New Roman"/>
                <w:color w:val="000000"/>
              </w:rPr>
            </w:pPr>
            <w:r w:rsidRPr="0083649A">
              <w:rPr>
                <w:rFonts w:eastAsia="Times New Roman" w:cs="Times New Roman"/>
                <w:color w:val="000000"/>
              </w:rPr>
              <w:t xml:space="preserve">Protective service </w:t>
            </w:r>
          </w:p>
        </w:tc>
        <w:tc>
          <w:tcPr>
            <w:tcW w:w="1060" w:type="dxa"/>
            <w:noWrap/>
            <w:hideMark/>
          </w:tcPr>
          <w:p w14:paraId="0F3B5379" w14:textId="77777777" w:rsidR="0083649A" w:rsidRPr="0083649A" w:rsidRDefault="0083649A" w:rsidP="0083649A">
            <w:pPr>
              <w:jc w:val="right"/>
              <w:rPr>
                <w:rFonts w:eastAsia="Times New Roman" w:cs="Times New Roman"/>
                <w:color w:val="000000"/>
              </w:rPr>
            </w:pPr>
            <w:r w:rsidRPr="0083649A">
              <w:rPr>
                <w:rFonts w:eastAsia="Times New Roman" w:cs="Times New Roman"/>
                <w:color w:val="000000"/>
              </w:rPr>
              <w:t>8</w:t>
            </w:r>
          </w:p>
        </w:tc>
        <w:tc>
          <w:tcPr>
            <w:tcW w:w="1060" w:type="dxa"/>
            <w:noWrap/>
            <w:hideMark/>
          </w:tcPr>
          <w:p w14:paraId="71FE00A0" w14:textId="77777777" w:rsidR="0083649A" w:rsidRPr="0083649A" w:rsidRDefault="0083649A" w:rsidP="0083649A">
            <w:pPr>
              <w:jc w:val="right"/>
              <w:rPr>
                <w:rFonts w:eastAsia="Times New Roman" w:cs="Times New Roman"/>
                <w:color w:val="000000"/>
              </w:rPr>
            </w:pPr>
            <w:r w:rsidRPr="0083649A">
              <w:rPr>
                <w:rFonts w:eastAsia="Times New Roman" w:cs="Times New Roman"/>
                <w:color w:val="000000"/>
              </w:rPr>
              <w:t>11</w:t>
            </w:r>
          </w:p>
        </w:tc>
      </w:tr>
      <w:tr w:rsidR="0083649A" w:rsidRPr="0083649A" w14:paraId="0A4F2EC1" w14:textId="77777777" w:rsidTr="0083649A">
        <w:trPr>
          <w:trHeight w:val="315"/>
        </w:trPr>
        <w:tc>
          <w:tcPr>
            <w:tcW w:w="4420" w:type="dxa"/>
            <w:noWrap/>
            <w:hideMark/>
          </w:tcPr>
          <w:p w14:paraId="7AD5DD0D" w14:textId="37C5FD24" w:rsidR="0083649A" w:rsidRPr="0083649A" w:rsidRDefault="0083649A" w:rsidP="0083649A">
            <w:pPr>
              <w:rPr>
                <w:rFonts w:eastAsia="Times New Roman" w:cs="Times New Roman"/>
                <w:color w:val="000000"/>
              </w:rPr>
            </w:pPr>
            <w:r w:rsidRPr="0083649A">
              <w:rPr>
                <w:rFonts w:eastAsia="Times New Roman" w:cs="Times New Roman"/>
                <w:color w:val="000000"/>
              </w:rPr>
              <w:t>Installation, maint</w:t>
            </w:r>
            <w:r w:rsidRPr="00F50410">
              <w:rPr>
                <w:rFonts w:eastAsia="Times New Roman" w:cs="Times New Roman"/>
                <w:color w:val="000000"/>
              </w:rPr>
              <w:t>e</w:t>
            </w:r>
            <w:r w:rsidRPr="0083649A">
              <w:rPr>
                <w:rFonts w:eastAsia="Times New Roman" w:cs="Times New Roman"/>
                <w:color w:val="000000"/>
              </w:rPr>
              <w:t>nance</w:t>
            </w:r>
            <w:r w:rsidRPr="00F50410">
              <w:rPr>
                <w:rFonts w:eastAsia="Times New Roman" w:cs="Times New Roman"/>
                <w:color w:val="000000"/>
              </w:rPr>
              <w:t xml:space="preserve"> </w:t>
            </w:r>
            <w:r w:rsidRPr="0083649A">
              <w:rPr>
                <w:rFonts w:eastAsia="Times New Roman" w:cs="Times New Roman"/>
                <w:color w:val="000000"/>
              </w:rPr>
              <w:t xml:space="preserve">and repair </w:t>
            </w:r>
          </w:p>
        </w:tc>
        <w:tc>
          <w:tcPr>
            <w:tcW w:w="1060" w:type="dxa"/>
            <w:noWrap/>
            <w:hideMark/>
          </w:tcPr>
          <w:p w14:paraId="798E2CDC" w14:textId="77777777" w:rsidR="0083649A" w:rsidRPr="0083649A" w:rsidRDefault="0083649A" w:rsidP="0083649A">
            <w:pPr>
              <w:jc w:val="right"/>
              <w:rPr>
                <w:rFonts w:eastAsia="Times New Roman" w:cs="Times New Roman"/>
                <w:color w:val="000000"/>
              </w:rPr>
            </w:pPr>
            <w:r w:rsidRPr="0083649A">
              <w:rPr>
                <w:rFonts w:eastAsia="Times New Roman" w:cs="Times New Roman"/>
                <w:color w:val="000000"/>
              </w:rPr>
              <w:t>8</w:t>
            </w:r>
          </w:p>
        </w:tc>
        <w:tc>
          <w:tcPr>
            <w:tcW w:w="1060" w:type="dxa"/>
            <w:noWrap/>
            <w:hideMark/>
          </w:tcPr>
          <w:p w14:paraId="5E5BFEEA" w14:textId="77777777" w:rsidR="0083649A" w:rsidRPr="0083649A" w:rsidRDefault="0083649A" w:rsidP="0083649A">
            <w:pPr>
              <w:jc w:val="right"/>
              <w:rPr>
                <w:rFonts w:eastAsia="Times New Roman" w:cs="Times New Roman"/>
                <w:color w:val="000000"/>
              </w:rPr>
            </w:pPr>
            <w:r w:rsidRPr="0083649A">
              <w:rPr>
                <w:rFonts w:eastAsia="Times New Roman" w:cs="Times New Roman"/>
                <w:color w:val="000000"/>
              </w:rPr>
              <w:t>8</w:t>
            </w:r>
          </w:p>
        </w:tc>
      </w:tr>
    </w:tbl>
    <w:p w14:paraId="4AF71990" w14:textId="2372AFFC" w:rsidR="00FE3B45" w:rsidRDefault="00FE3B45">
      <w:pPr>
        <w:rPr>
          <w:rFonts w:ascii="Times New Roman" w:hAnsi="Times New Roman" w:cs="Times New Roman"/>
          <w:sz w:val="20"/>
        </w:rPr>
      </w:pPr>
      <w:r w:rsidRPr="00AF3BDB">
        <w:rPr>
          <w:rFonts w:ascii="Times New Roman" w:hAnsi="Times New Roman" w:cs="Times New Roman"/>
          <w:sz w:val="20"/>
        </w:rPr>
        <w:t>Source: Maryland Division of Labor and Industry in cooperation with the U.S. Bureau of Labor Statistics, CFOI Program, December 202</w:t>
      </w:r>
      <w:r>
        <w:rPr>
          <w:rFonts w:ascii="Times New Roman" w:hAnsi="Times New Roman" w:cs="Times New Roman"/>
          <w:sz w:val="20"/>
        </w:rPr>
        <w:t>4</w:t>
      </w:r>
      <w:r w:rsidRPr="00AF3BDB">
        <w:rPr>
          <w:rFonts w:ascii="Times New Roman" w:hAnsi="Times New Roman" w:cs="Times New Roman"/>
          <w:sz w:val="20"/>
        </w:rPr>
        <w:t xml:space="preserve">. </w:t>
      </w:r>
    </w:p>
    <w:p w14:paraId="5F41DD06" w14:textId="77777777" w:rsidR="00946E34" w:rsidRDefault="00946E34" w:rsidP="00946E3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Additional highlights </w:t>
      </w:r>
    </w:p>
    <w:p w14:paraId="05A29614" w14:textId="3288788C" w:rsidR="00946E34" w:rsidRDefault="00902B7C" w:rsidP="00946E34">
      <w:pPr>
        <w:pStyle w:val="ListParagraph"/>
        <w:numPr>
          <w:ilvl w:val="0"/>
          <w:numId w:val="1"/>
        </w:numPr>
        <w:spacing w:after="0" w:line="240" w:lineRule="auto"/>
        <w:jc w:val="both"/>
        <w:rPr>
          <w:rFonts w:ascii="Times New Roman" w:hAnsi="Times New Roman" w:cs="Times New Roman"/>
          <w:sz w:val="24"/>
          <w:szCs w:val="24"/>
        </w:rPr>
      </w:pPr>
      <w:r w:rsidRPr="00AE50DE">
        <w:rPr>
          <w:rFonts w:ascii="Times New Roman" w:hAnsi="Times New Roman" w:cs="Times New Roman"/>
          <w:sz w:val="24"/>
          <w:szCs w:val="24"/>
        </w:rPr>
        <w:t xml:space="preserve">Men accounted for </w:t>
      </w:r>
      <w:r w:rsidR="00AE50DE" w:rsidRPr="00AE50DE">
        <w:rPr>
          <w:rFonts w:ascii="Times New Roman" w:hAnsi="Times New Roman" w:cs="Times New Roman"/>
          <w:sz w:val="24"/>
          <w:szCs w:val="24"/>
        </w:rPr>
        <w:t>91</w:t>
      </w:r>
      <w:r w:rsidRPr="00AE50DE">
        <w:rPr>
          <w:rFonts w:ascii="Times New Roman" w:hAnsi="Times New Roman" w:cs="Times New Roman"/>
          <w:sz w:val="24"/>
          <w:szCs w:val="24"/>
        </w:rPr>
        <w:t xml:space="preserve"> percent of </w:t>
      </w:r>
      <w:r w:rsidR="00AE50DE" w:rsidRPr="00AE50DE">
        <w:rPr>
          <w:rFonts w:ascii="Times New Roman" w:hAnsi="Times New Roman" w:cs="Times New Roman"/>
          <w:sz w:val="24"/>
          <w:szCs w:val="24"/>
        </w:rPr>
        <w:t>work-related</w:t>
      </w:r>
      <w:r w:rsidRPr="00AE50DE">
        <w:rPr>
          <w:rFonts w:ascii="Times New Roman" w:hAnsi="Times New Roman" w:cs="Times New Roman"/>
          <w:sz w:val="24"/>
          <w:szCs w:val="24"/>
        </w:rPr>
        <w:t xml:space="preserve"> fatalities in Maryland</w:t>
      </w:r>
      <w:r w:rsidR="00AE50DE" w:rsidRPr="00AE50DE">
        <w:rPr>
          <w:rFonts w:ascii="Times New Roman" w:hAnsi="Times New Roman" w:cs="Times New Roman"/>
          <w:sz w:val="24"/>
          <w:szCs w:val="24"/>
        </w:rPr>
        <w:t xml:space="preserve">, </w:t>
      </w:r>
      <w:r w:rsidR="006539B5">
        <w:rPr>
          <w:rFonts w:ascii="Times New Roman" w:hAnsi="Times New Roman" w:cs="Times New Roman"/>
          <w:sz w:val="24"/>
          <w:szCs w:val="24"/>
        </w:rPr>
        <w:t>the same as in 2022.</w:t>
      </w:r>
      <w:r w:rsidR="00AE50DE">
        <w:rPr>
          <w:rFonts w:ascii="Times New Roman" w:hAnsi="Times New Roman" w:cs="Times New Roman"/>
          <w:sz w:val="24"/>
          <w:szCs w:val="24"/>
        </w:rPr>
        <w:t xml:space="preserve"> Nationally, men accounted for just over 91 percent of all work-related fatalities in 2023. </w:t>
      </w:r>
      <w:r w:rsidR="00946E34">
        <w:rPr>
          <w:rFonts w:ascii="Times New Roman" w:hAnsi="Times New Roman" w:cs="Times New Roman"/>
          <w:sz w:val="24"/>
          <w:szCs w:val="24"/>
        </w:rPr>
        <w:t xml:space="preserve">Women accounted for </w:t>
      </w:r>
      <w:r w:rsidR="00AE50DE">
        <w:rPr>
          <w:rFonts w:ascii="Times New Roman" w:hAnsi="Times New Roman" w:cs="Times New Roman"/>
          <w:sz w:val="24"/>
          <w:szCs w:val="24"/>
        </w:rPr>
        <w:t xml:space="preserve">nearly </w:t>
      </w:r>
      <w:r w:rsidR="007E5658">
        <w:rPr>
          <w:rFonts w:ascii="Times New Roman" w:hAnsi="Times New Roman" w:cs="Times New Roman"/>
          <w:sz w:val="24"/>
          <w:szCs w:val="24"/>
        </w:rPr>
        <w:t>9</w:t>
      </w:r>
      <w:r w:rsidR="0086613B">
        <w:rPr>
          <w:rFonts w:ascii="Times New Roman" w:hAnsi="Times New Roman" w:cs="Times New Roman"/>
          <w:sz w:val="24"/>
          <w:szCs w:val="24"/>
        </w:rPr>
        <w:t xml:space="preserve"> percent of the work-related fatalities in Maryland, down from 10 percent in 2022.</w:t>
      </w:r>
      <w:r w:rsidR="001E03BD">
        <w:rPr>
          <w:rFonts w:ascii="Times New Roman" w:hAnsi="Times New Roman" w:cs="Times New Roman"/>
          <w:sz w:val="24"/>
          <w:szCs w:val="24"/>
        </w:rPr>
        <w:t xml:space="preserve"> Nationally, women accounted for </w:t>
      </w:r>
      <w:r w:rsidR="00AE50DE">
        <w:rPr>
          <w:rFonts w:ascii="Times New Roman" w:hAnsi="Times New Roman" w:cs="Times New Roman"/>
          <w:sz w:val="24"/>
          <w:szCs w:val="24"/>
        </w:rPr>
        <w:t xml:space="preserve">just over </w:t>
      </w:r>
      <w:r w:rsidR="001E03BD">
        <w:rPr>
          <w:rFonts w:ascii="Times New Roman" w:hAnsi="Times New Roman" w:cs="Times New Roman"/>
          <w:sz w:val="24"/>
          <w:szCs w:val="24"/>
        </w:rPr>
        <w:t>8 percent of all fatalities</w:t>
      </w:r>
      <w:r>
        <w:rPr>
          <w:rFonts w:ascii="Times New Roman" w:hAnsi="Times New Roman" w:cs="Times New Roman"/>
          <w:sz w:val="24"/>
          <w:szCs w:val="24"/>
        </w:rPr>
        <w:t xml:space="preserve"> in 2023</w:t>
      </w:r>
      <w:r w:rsidR="001E03BD">
        <w:rPr>
          <w:rFonts w:ascii="Times New Roman" w:hAnsi="Times New Roman" w:cs="Times New Roman"/>
          <w:sz w:val="24"/>
          <w:szCs w:val="24"/>
        </w:rPr>
        <w:t>.</w:t>
      </w:r>
    </w:p>
    <w:p w14:paraId="257A3636" w14:textId="5B10C553" w:rsidR="00946E34" w:rsidRDefault="0086613B" w:rsidP="00946E34">
      <w:pPr>
        <w:pStyle w:val="ListParagraph"/>
        <w:numPr>
          <w:ilvl w:val="0"/>
          <w:numId w:val="1"/>
        </w:numPr>
        <w:spacing w:after="0" w:line="240" w:lineRule="auto"/>
        <w:rPr>
          <w:rFonts w:ascii="Times New Roman" w:hAnsi="Times New Roman" w:cs="Times New Roman"/>
          <w:sz w:val="24"/>
          <w:szCs w:val="24"/>
        </w:rPr>
      </w:pPr>
      <w:r w:rsidRPr="00236F5F">
        <w:rPr>
          <w:rFonts w:ascii="Times New Roman" w:hAnsi="Times New Roman" w:cs="Times New Roman"/>
          <w:sz w:val="24"/>
          <w:szCs w:val="24"/>
        </w:rPr>
        <w:t xml:space="preserve">White, non-Hispanic workers accounted for </w:t>
      </w:r>
      <w:r>
        <w:rPr>
          <w:rFonts w:ascii="Times New Roman" w:hAnsi="Times New Roman" w:cs="Times New Roman"/>
          <w:sz w:val="24"/>
          <w:szCs w:val="24"/>
        </w:rPr>
        <w:t>4</w:t>
      </w:r>
      <w:r w:rsidR="009C54AC">
        <w:rPr>
          <w:rFonts w:ascii="Times New Roman" w:hAnsi="Times New Roman" w:cs="Times New Roman"/>
          <w:sz w:val="24"/>
          <w:szCs w:val="24"/>
        </w:rPr>
        <w:t>1</w:t>
      </w:r>
      <w:r w:rsidRPr="00236F5F">
        <w:rPr>
          <w:rFonts w:ascii="Times New Roman" w:hAnsi="Times New Roman" w:cs="Times New Roman"/>
          <w:sz w:val="24"/>
          <w:szCs w:val="24"/>
        </w:rPr>
        <w:t xml:space="preserve"> percent of those who died from a workplace injury</w:t>
      </w:r>
      <w:r>
        <w:rPr>
          <w:rFonts w:ascii="Times New Roman" w:hAnsi="Times New Roman" w:cs="Times New Roman"/>
          <w:sz w:val="24"/>
          <w:szCs w:val="24"/>
        </w:rPr>
        <w:t xml:space="preserve"> </w:t>
      </w:r>
      <w:r w:rsidRPr="00236F5F">
        <w:rPr>
          <w:rFonts w:ascii="Times New Roman" w:hAnsi="Times New Roman" w:cs="Times New Roman"/>
          <w:sz w:val="24"/>
          <w:szCs w:val="24"/>
        </w:rPr>
        <w:t>while</w:t>
      </w:r>
      <w:r>
        <w:rPr>
          <w:rFonts w:ascii="Times New Roman" w:hAnsi="Times New Roman" w:cs="Times New Roman"/>
          <w:sz w:val="24"/>
          <w:szCs w:val="24"/>
        </w:rPr>
        <w:t xml:space="preserve"> Black</w:t>
      </w:r>
      <w:r w:rsidR="009C54AC">
        <w:rPr>
          <w:rFonts w:ascii="Times New Roman" w:hAnsi="Times New Roman" w:cs="Times New Roman"/>
          <w:sz w:val="24"/>
          <w:szCs w:val="24"/>
        </w:rPr>
        <w:t xml:space="preserve"> or African American</w:t>
      </w:r>
      <w:r>
        <w:rPr>
          <w:rFonts w:ascii="Times New Roman" w:hAnsi="Times New Roman" w:cs="Times New Roman"/>
          <w:sz w:val="24"/>
          <w:szCs w:val="24"/>
        </w:rPr>
        <w:t>, non-Hispanic workers accounted for just below 32 percent and</w:t>
      </w:r>
      <w:r w:rsidRPr="00236F5F">
        <w:rPr>
          <w:rFonts w:ascii="Times New Roman" w:hAnsi="Times New Roman" w:cs="Times New Roman"/>
          <w:sz w:val="24"/>
          <w:szCs w:val="24"/>
        </w:rPr>
        <w:t xml:space="preserve"> Hispanic or Latino workers accounted for </w:t>
      </w:r>
      <w:r>
        <w:rPr>
          <w:rFonts w:ascii="Times New Roman" w:hAnsi="Times New Roman" w:cs="Times New Roman"/>
          <w:sz w:val="24"/>
          <w:szCs w:val="24"/>
        </w:rPr>
        <w:t>just over 23</w:t>
      </w:r>
      <w:r w:rsidRPr="00236F5F">
        <w:rPr>
          <w:rFonts w:ascii="Times New Roman" w:hAnsi="Times New Roman" w:cs="Times New Roman"/>
          <w:sz w:val="24"/>
          <w:szCs w:val="24"/>
        </w:rPr>
        <w:t xml:space="preserve"> percent.</w:t>
      </w:r>
      <w:r>
        <w:rPr>
          <w:rFonts w:ascii="Times New Roman" w:hAnsi="Times New Roman" w:cs="Times New Roman"/>
          <w:sz w:val="24"/>
          <w:szCs w:val="24"/>
        </w:rPr>
        <w:t xml:space="preserve"> In 202</w:t>
      </w:r>
      <w:r w:rsidR="009C54AC">
        <w:rPr>
          <w:rFonts w:ascii="Times New Roman" w:hAnsi="Times New Roman" w:cs="Times New Roman"/>
          <w:sz w:val="24"/>
          <w:szCs w:val="24"/>
        </w:rPr>
        <w:t>2</w:t>
      </w:r>
      <w:r>
        <w:rPr>
          <w:rFonts w:ascii="Times New Roman" w:hAnsi="Times New Roman" w:cs="Times New Roman"/>
          <w:sz w:val="24"/>
          <w:szCs w:val="24"/>
        </w:rPr>
        <w:t xml:space="preserve">, </w:t>
      </w:r>
      <w:r w:rsidRPr="00236F5F">
        <w:rPr>
          <w:rFonts w:ascii="Times New Roman" w:hAnsi="Times New Roman" w:cs="Times New Roman"/>
          <w:sz w:val="24"/>
          <w:szCs w:val="24"/>
        </w:rPr>
        <w:t xml:space="preserve">White, non-Hispanic workers accounted for </w:t>
      </w:r>
      <w:r>
        <w:rPr>
          <w:rFonts w:ascii="Times New Roman" w:hAnsi="Times New Roman" w:cs="Times New Roman"/>
          <w:sz w:val="24"/>
          <w:szCs w:val="24"/>
        </w:rPr>
        <w:t>46</w:t>
      </w:r>
      <w:r w:rsidRPr="00236F5F">
        <w:rPr>
          <w:rFonts w:ascii="Times New Roman" w:hAnsi="Times New Roman" w:cs="Times New Roman"/>
          <w:sz w:val="24"/>
          <w:szCs w:val="24"/>
        </w:rPr>
        <w:t xml:space="preserve"> percent of those who died from a workplace injury</w:t>
      </w:r>
      <w:r w:rsidR="009C54AC">
        <w:rPr>
          <w:rFonts w:ascii="Times New Roman" w:hAnsi="Times New Roman" w:cs="Times New Roman"/>
          <w:sz w:val="24"/>
          <w:szCs w:val="24"/>
        </w:rPr>
        <w:t>,</w:t>
      </w:r>
      <w:r>
        <w:rPr>
          <w:rFonts w:ascii="Times New Roman" w:hAnsi="Times New Roman" w:cs="Times New Roman"/>
          <w:sz w:val="24"/>
          <w:szCs w:val="24"/>
        </w:rPr>
        <w:t xml:space="preserve"> Black</w:t>
      </w:r>
      <w:r w:rsidR="009C54AC">
        <w:rPr>
          <w:rFonts w:ascii="Times New Roman" w:hAnsi="Times New Roman" w:cs="Times New Roman"/>
          <w:sz w:val="24"/>
          <w:szCs w:val="24"/>
        </w:rPr>
        <w:t xml:space="preserve"> or African American</w:t>
      </w:r>
      <w:r>
        <w:rPr>
          <w:rFonts w:ascii="Times New Roman" w:hAnsi="Times New Roman" w:cs="Times New Roman"/>
          <w:sz w:val="24"/>
          <w:szCs w:val="24"/>
        </w:rPr>
        <w:t>, non-Hispanic workers accounted for 35 percent</w:t>
      </w:r>
      <w:r w:rsidR="009C54AC">
        <w:rPr>
          <w:rFonts w:ascii="Times New Roman" w:hAnsi="Times New Roman" w:cs="Times New Roman"/>
          <w:sz w:val="24"/>
          <w:szCs w:val="24"/>
        </w:rPr>
        <w:t>,</w:t>
      </w:r>
      <w:r>
        <w:rPr>
          <w:rFonts w:ascii="Times New Roman" w:hAnsi="Times New Roman" w:cs="Times New Roman"/>
          <w:sz w:val="24"/>
          <w:szCs w:val="24"/>
        </w:rPr>
        <w:t xml:space="preserve"> and</w:t>
      </w:r>
      <w:r w:rsidRPr="00236F5F">
        <w:rPr>
          <w:rFonts w:ascii="Times New Roman" w:hAnsi="Times New Roman" w:cs="Times New Roman"/>
          <w:sz w:val="24"/>
          <w:szCs w:val="24"/>
        </w:rPr>
        <w:t xml:space="preserve"> Hispanic or Latino workers accounted for </w:t>
      </w:r>
      <w:r>
        <w:rPr>
          <w:rFonts w:ascii="Times New Roman" w:hAnsi="Times New Roman" w:cs="Times New Roman"/>
          <w:sz w:val="24"/>
          <w:szCs w:val="24"/>
        </w:rPr>
        <w:t>14</w:t>
      </w:r>
      <w:r w:rsidRPr="00236F5F">
        <w:rPr>
          <w:rFonts w:ascii="Times New Roman" w:hAnsi="Times New Roman" w:cs="Times New Roman"/>
          <w:sz w:val="24"/>
          <w:szCs w:val="24"/>
        </w:rPr>
        <w:t xml:space="preserve"> percent.</w:t>
      </w:r>
    </w:p>
    <w:p w14:paraId="45A0980A" w14:textId="7AF07B05" w:rsidR="00331B2D" w:rsidRPr="00235D29" w:rsidRDefault="00902B7C" w:rsidP="00331B2D">
      <w:pPr>
        <w:pStyle w:val="ListParagraph"/>
        <w:numPr>
          <w:ilvl w:val="0"/>
          <w:numId w:val="1"/>
        </w:numPr>
        <w:spacing w:after="0" w:line="240" w:lineRule="auto"/>
        <w:rPr>
          <w:rFonts w:ascii="Times New Roman" w:hAnsi="Times New Roman" w:cs="Times New Roman"/>
          <w:sz w:val="24"/>
          <w:szCs w:val="24"/>
        </w:rPr>
      </w:pPr>
      <w:r w:rsidRPr="00165958">
        <w:rPr>
          <w:rFonts w:ascii="Times New Roman" w:hAnsi="Times New Roman" w:cs="Times New Roman"/>
          <w:sz w:val="24"/>
          <w:szCs w:val="24"/>
        </w:rPr>
        <w:t>Wage and salar</w:t>
      </w:r>
      <w:r w:rsidR="006539B5">
        <w:rPr>
          <w:rFonts w:ascii="Times New Roman" w:hAnsi="Times New Roman" w:cs="Times New Roman"/>
          <w:sz w:val="24"/>
          <w:szCs w:val="24"/>
        </w:rPr>
        <w:t>y</w:t>
      </w:r>
      <w:r w:rsidRPr="00165958">
        <w:rPr>
          <w:rFonts w:ascii="Times New Roman" w:hAnsi="Times New Roman" w:cs="Times New Roman"/>
          <w:sz w:val="24"/>
          <w:szCs w:val="24"/>
        </w:rPr>
        <w:t xml:space="preserve"> workers accounted for</w:t>
      </w:r>
      <w:r w:rsidR="00165958" w:rsidRPr="00165958">
        <w:rPr>
          <w:rFonts w:ascii="Times New Roman" w:hAnsi="Times New Roman" w:cs="Times New Roman"/>
          <w:sz w:val="24"/>
          <w:szCs w:val="24"/>
        </w:rPr>
        <w:t xml:space="preserve"> almost 80</w:t>
      </w:r>
      <w:r w:rsidRPr="00165958">
        <w:rPr>
          <w:rFonts w:ascii="Times New Roman" w:hAnsi="Times New Roman" w:cs="Times New Roman"/>
          <w:sz w:val="24"/>
          <w:szCs w:val="24"/>
        </w:rPr>
        <w:t xml:space="preserve"> percent of </w:t>
      </w:r>
      <w:r w:rsidR="00165958" w:rsidRPr="00165958">
        <w:rPr>
          <w:rFonts w:ascii="Times New Roman" w:hAnsi="Times New Roman" w:cs="Times New Roman"/>
          <w:sz w:val="24"/>
          <w:szCs w:val="24"/>
        </w:rPr>
        <w:t>work-related</w:t>
      </w:r>
      <w:r w:rsidRPr="00165958">
        <w:rPr>
          <w:rFonts w:ascii="Times New Roman" w:hAnsi="Times New Roman" w:cs="Times New Roman"/>
          <w:sz w:val="24"/>
          <w:szCs w:val="24"/>
        </w:rPr>
        <w:t xml:space="preserve"> fatalities in 2023.</w:t>
      </w:r>
      <w:r w:rsidR="00165958">
        <w:rPr>
          <w:rFonts w:ascii="Times New Roman" w:hAnsi="Times New Roman" w:cs="Times New Roman"/>
          <w:sz w:val="24"/>
          <w:szCs w:val="24"/>
        </w:rPr>
        <w:t xml:space="preserve"> In 2022, </w:t>
      </w:r>
      <w:r w:rsidR="006539B5">
        <w:rPr>
          <w:rFonts w:ascii="Times New Roman" w:hAnsi="Times New Roman" w:cs="Times New Roman"/>
          <w:sz w:val="24"/>
          <w:szCs w:val="24"/>
        </w:rPr>
        <w:t>w</w:t>
      </w:r>
      <w:r w:rsidR="00165958">
        <w:rPr>
          <w:rFonts w:ascii="Times New Roman" w:hAnsi="Times New Roman" w:cs="Times New Roman"/>
          <w:sz w:val="24"/>
          <w:szCs w:val="24"/>
        </w:rPr>
        <w:t>age and salar</w:t>
      </w:r>
      <w:r w:rsidR="006539B5">
        <w:rPr>
          <w:rFonts w:ascii="Times New Roman" w:hAnsi="Times New Roman" w:cs="Times New Roman"/>
          <w:sz w:val="24"/>
          <w:szCs w:val="24"/>
        </w:rPr>
        <w:t>y</w:t>
      </w:r>
      <w:r w:rsidR="00165958">
        <w:rPr>
          <w:rFonts w:ascii="Times New Roman" w:hAnsi="Times New Roman" w:cs="Times New Roman"/>
          <w:sz w:val="24"/>
          <w:szCs w:val="24"/>
        </w:rPr>
        <w:t xml:space="preserve"> workers accounted for</w:t>
      </w:r>
      <w:r w:rsidR="00477AC9">
        <w:rPr>
          <w:rFonts w:ascii="Times New Roman" w:hAnsi="Times New Roman" w:cs="Times New Roman"/>
          <w:sz w:val="24"/>
          <w:szCs w:val="24"/>
        </w:rPr>
        <w:t xml:space="preserve"> just over 81 </w:t>
      </w:r>
      <w:r w:rsidR="00477AC9">
        <w:rPr>
          <w:rFonts w:ascii="Times New Roman" w:hAnsi="Times New Roman" w:cs="Times New Roman"/>
          <w:sz w:val="24"/>
          <w:szCs w:val="24"/>
        </w:rPr>
        <w:lastRenderedPageBreak/>
        <w:t>percent</w:t>
      </w:r>
      <w:r w:rsidR="00622F64">
        <w:rPr>
          <w:rFonts w:ascii="Times New Roman" w:hAnsi="Times New Roman" w:cs="Times New Roman"/>
          <w:sz w:val="24"/>
          <w:szCs w:val="24"/>
        </w:rPr>
        <w:t xml:space="preserve"> of work</w:t>
      </w:r>
      <w:r w:rsidR="006539B5">
        <w:rPr>
          <w:rFonts w:ascii="Times New Roman" w:hAnsi="Times New Roman" w:cs="Times New Roman"/>
          <w:sz w:val="24"/>
          <w:szCs w:val="24"/>
        </w:rPr>
        <w:t>-</w:t>
      </w:r>
      <w:r w:rsidR="00622F64">
        <w:rPr>
          <w:rFonts w:ascii="Times New Roman" w:hAnsi="Times New Roman" w:cs="Times New Roman"/>
          <w:sz w:val="24"/>
          <w:szCs w:val="24"/>
        </w:rPr>
        <w:t>related fatalities.</w:t>
      </w:r>
      <w:r w:rsidRPr="00902B7C">
        <w:rPr>
          <w:rFonts w:ascii="Times New Roman" w:hAnsi="Times New Roman" w:cs="Times New Roman"/>
          <w:color w:val="FF0000"/>
          <w:sz w:val="24"/>
          <w:szCs w:val="24"/>
        </w:rPr>
        <w:t xml:space="preserve"> </w:t>
      </w:r>
      <w:r>
        <w:rPr>
          <w:rFonts w:ascii="Times New Roman" w:hAnsi="Times New Roman" w:cs="Times New Roman"/>
          <w:sz w:val="24"/>
          <w:szCs w:val="24"/>
        </w:rPr>
        <w:t>There</w:t>
      </w:r>
      <w:r w:rsidR="0086613B">
        <w:rPr>
          <w:rFonts w:ascii="Times New Roman" w:hAnsi="Times New Roman" w:cs="Times New Roman"/>
          <w:sz w:val="24"/>
          <w:szCs w:val="24"/>
        </w:rPr>
        <w:t xml:space="preserve"> was an increase in </w:t>
      </w:r>
      <w:r w:rsidR="003A5161">
        <w:rPr>
          <w:rFonts w:ascii="Times New Roman" w:hAnsi="Times New Roman" w:cs="Times New Roman"/>
          <w:sz w:val="24"/>
          <w:szCs w:val="24"/>
        </w:rPr>
        <w:t>self-employed</w:t>
      </w:r>
      <w:r w:rsidR="0086613B">
        <w:rPr>
          <w:rFonts w:ascii="Times New Roman" w:hAnsi="Times New Roman" w:cs="Times New Roman"/>
          <w:sz w:val="24"/>
          <w:szCs w:val="24"/>
        </w:rPr>
        <w:t xml:space="preserve"> worker workplace deaths from last year. In 2022, self-employed workers accounted for</w:t>
      </w:r>
      <w:r w:rsidR="00401240">
        <w:rPr>
          <w:rFonts w:ascii="Times New Roman" w:hAnsi="Times New Roman" w:cs="Times New Roman"/>
          <w:sz w:val="24"/>
          <w:szCs w:val="24"/>
        </w:rPr>
        <w:t xml:space="preserve"> 19</w:t>
      </w:r>
      <w:r w:rsidR="0086613B">
        <w:rPr>
          <w:rFonts w:ascii="Times New Roman" w:hAnsi="Times New Roman" w:cs="Times New Roman"/>
          <w:sz w:val="24"/>
          <w:szCs w:val="24"/>
        </w:rPr>
        <w:t xml:space="preserve"> percent of </w:t>
      </w:r>
      <w:r w:rsidR="006539B5">
        <w:rPr>
          <w:rFonts w:ascii="Times New Roman" w:hAnsi="Times New Roman" w:cs="Times New Roman"/>
          <w:sz w:val="24"/>
          <w:szCs w:val="24"/>
        </w:rPr>
        <w:t>workplace</w:t>
      </w:r>
      <w:r w:rsidR="0086613B">
        <w:rPr>
          <w:rFonts w:ascii="Times New Roman" w:hAnsi="Times New Roman" w:cs="Times New Roman"/>
          <w:sz w:val="24"/>
          <w:szCs w:val="24"/>
        </w:rPr>
        <w:t xml:space="preserve"> deaths. In 2023, the share of self-employed worker deaths was 20 percent. </w:t>
      </w:r>
      <w:r w:rsidR="00F428D1">
        <w:rPr>
          <w:rFonts w:ascii="Times New Roman" w:hAnsi="Times New Roman" w:cs="Times New Roman"/>
          <w:sz w:val="24"/>
          <w:szCs w:val="24"/>
        </w:rPr>
        <w:t xml:space="preserve">Nationally, </w:t>
      </w:r>
      <w:r w:rsidR="001674B1">
        <w:rPr>
          <w:rFonts w:ascii="Times New Roman" w:hAnsi="Times New Roman" w:cs="Times New Roman"/>
          <w:sz w:val="24"/>
          <w:szCs w:val="24"/>
        </w:rPr>
        <w:t xml:space="preserve">wage and salary workers accounted for 83 percent of all work-related fatalities and </w:t>
      </w:r>
      <w:r w:rsidR="006539B5">
        <w:rPr>
          <w:rFonts w:ascii="Times New Roman" w:hAnsi="Times New Roman" w:cs="Times New Roman"/>
          <w:sz w:val="24"/>
          <w:szCs w:val="24"/>
        </w:rPr>
        <w:t>self-employed</w:t>
      </w:r>
      <w:r w:rsidR="00F428D1">
        <w:rPr>
          <w:rFonts w:ascii="Times New Roman" w:hAnsi="Times New Roman" w:cs="Times New Roman"/>
          <w:sz w:val="24"/>
          <w:szCs w:val="24"/>
        </w:rPr>
        <w:t xml:space="preserve"> workers account</w:t>
      </w:r>
      <w:r w:rsidR="006539B5">
        <w:rPr>
          <w:rFonts w:ascii="Times New Roman" w:hAnsi="Times New Roman" w:cs="Times New Roman"/>
          <w:sz w:val="24"/>
          <w:szCs w:val="24"/>
        </w:rPr>
        <w:t>ed</w:t>
      </w:r>
      <w:r w:rsidR="00F428D1">
        <w:rPr>
          <w:rFonts w:ascii="Times New Roman" w:hAnsi="Times New Roman" w:cs="Times New Roman"/>
          <w:sz w:val="24"/>
          <w:szCs w:val="24"/>
        </w:rPr>
        <w:t xml:space="preserve"> for just over 17 percent</w:t>
      </w:r>
      <w:r w:rsidR="001674B1">
        <w:rPr>
          <w:rFonts w:ascii="Times New Roman" w:hAnsi="Times New Roman" w:cs="Times New Roman"/>
          <w:sz w:val="24"/>
          <w:szCs w:val="24"/>
        </w:rPr>
        <w:t>.</w:t>
      </w:r>
      <w:r w:rsidR="00F428D1">
        <w:rPr>
          <w:rFonts w:ascii="Times New Roman" w:hAnsi="Times New Roman" w:cs="Times New Roman"/>
          <w:sz w:val="24"/>
          <w:szCs w:val="24"/>
        </w:rPr>
        <w:t xml:space="preserve"> </w:t>
      </w:r>
    </w:p>
    <w:p w14:paraId="31C9B86D" w14:textId="6085466C" w:rsidR="00331B2D" w:rsidRDefault="00331B2D" w:rsidP="00331B2D">
      <w:pPr>
        <w:spacing w:after="0" w:line="240" w:lineRule="auto"/>
        <w:rPr>
          <w:rFonts w:ascii="Times New Roman" w:hAnsi="Times New Roman" w:cs="Times New Roman"/>
          <w:sz w:val="24"/>
          <w:szCs w:val="24"/>
        </w:rPr>
      </w:pPr>
    </w:p>
    <w:p w14:paraId="50FC8A39" w14:textId="669B1B29" w:rsidR="00946E34" w:rsidRPr="00235D29" w:rsidRDefault="00235D29" w:rsidP="00235D29">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68A467B3" wp14:editId="5E82212D">
                <wp:extent cx="5943600" cy="1140098"/>
                <wp:effectExtent l="0" t="0" r="19050" b="22225"/>
                <wp:docPr id="4" name="Text Box 4"/>
                <wp:cNvGraphicFramePr/>
                <a:graphic xmlns:a="http://schemas.openxmlformats.org/drawingml/2006/main">
                  <a:graphicData uri="http://schemas.microsoft.com/office/word/2010/wordprocessingShape">
                    <wps:wsp>
                      <wps:cNvSpPr txBox="1"/>
                      <wps:spPr>
                        <a:xfrm>
                          <a:off x="0" y="0"/>
                          <a:ext cx="5943600" cy="1140098"/>
                        </a:xfrm>
                        <a:prstGeom prst="rect">
                          <a:avLst/>
                        </a:prstGeom>
                        <a:solidFill>
                          <a:sysClr val="window" lastClr="FFFFFF"/>
                        </a:solidFill>
                        <a:ln w="6350">
                          <a:solidFill>
                            <a:prstClr val="black"/>
                          </a:solidFill>
                        </a:ln>
                      </wps:spPr>
                      <wps:txbx>
                        <w:txbxContent>
                          <w:p w14:paraId="1CB14328" w14:textId="77777777" w:rsidR="00235D29" w:rsidRPr="001427D8" w:rsidRDefault="00235D29" w:rsidP="00235D29">
                            <w:pPr>
                              <w:jc w:val="center"/>
                              <w:rPr>
                                <w:b/>
                                <w:bCs/>
                                <w:i/>
                                <w:iCs/>
                                <w:u w:val="single"/>
                              </w:rPr>
                            </w:pPr>
                            <w:r w:rsidRPr="001427D8">
                              <w:rPr>
                                <w:b/>
                                <w:bCs/>
                                <w:i/>
                                <w:iCs/>
                                <w:u w:val="single"/>
                              </w:rPr>
                              <w:t>Coronavirus (COVID-19) Pandemic and the Census of Fatal Occupational Injuries</w:t>
                            </w:r>
                          </w:p>
                          <w:p w14:paraId="576A204F" w14:textId="77777777" w:rsidR="00235D29" w:rsidRDefault="00235D29" w:rsidP="00235D29">
                            <w:pPr>
                              <w:jc w:val="center"/>
                            </w:pPr>
                            <w:r>
                              <w:t>CFOI reports fatal workplace injuries only. These may include fatal workplace injuries complicated by an illness such as COVID-19. Fatal workplace illnesses not precipitated by an injury are not in scope for CFOI. CFOI does not report any illness related information, including COVID-19. Additional information is available at www.bls.gov/covid19/effects-of-covid-19-on-workplace-injuries-and-illnesses-compensation-andoccupational-requirements.htm.</w:t>
                            </w:r>
                          </w:p>
                          <w:p w14:paraId="1D665B2E" w14:textId="77777777" w:rsidR="00235D29" w:rsidRDefault="00235D29" w:rsidP="00235D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8A467B3" id="_x0000_t202" coordsize="21600,21600" o:spt="202" path="m,l,21600r21600,l21600,xe">
                <v:stroke joinstyle="miter"/>
                <v:path gradientshapeok="t" o:connecttype="rect"/>
              </v:shapetype>
              <v:shape id="Text Box 4" o:spid="_x0000_s1026" type="#_x0000_t202" style="width:468pt;height:8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" fillcolor="window" strokeweight=".5pt">
                <v:textbox>
                  <w:txbxContent>
                    <w:p w14:paraId="1CB14328" w14:textId="77777777" w:rsidR="00235D29" w:rsidRPr="001427D8" w:rsidRDefault="00235D29" w:rsidP="00235D29">
                      <w:pPr>
                        <w:jc w:val="center"/>
                        <w:rPr>
                          <w:b/>
                          <w:bCs/>
                          <w:i/>
                          <w:iCs/>
                          <w:u w:val="single"/>
                        </w:rPr>
                      </w:pPr>
                      <w:r w:rsidRPr="001427D8">
                        <w:rPr>
                          <w:b/>
                          <w:bCs/>
                          <w:i/>
                          <w:iCs/>
                          <w:u w:val="single"/>
                        </w:rPr>
                        <w:t>Coronavirus (COVID-19) Pandemic and the Census of Fatal Occupational Injuries</w:t>
                      </w:r>
                    </w:p>
                    <w:p w14:paraId="576A204F" w14:textId="77777777" w:rsidR="00235D29" w:rsidRDefault="00235D29" w:rsidP="00235D29">
                      <w:pPr>
                        <w:jc w:val="center"/>
                      </w:pPr>
                      <w:r>
                        <w:t>CFOI reports fatal workplace injuries only. These may include fatal workplace injuries complicated by an illness such as COVID-19. Fatal workplace illnesses not precipitated by an injury are not in scope for CFOI. CFOI does not report any illness related information, including COVID-19. Additional information is available at www.bls.gov/covid19/effects-of-covid-19-on-workplace-injuries-and-illnesses-compensation-andoccupational-requirements.htm.</w:t>
                      </w:r>
                    </w:p>
                    <w:p w14:paraId="1D665B2E" w14:textId="77777777" w:rsidR="00235D29" w:rsidRDefault="00235D29" w:rsidP="00235D29"/>
                  </w:txbxContent>
                </v:textbox>
                <w10:anchorlock/>
              </v:shape>
            </w:pict>
          </mc:Fallback>
        </mc:AlternateContent>
      </w:r>
    </w:p>
    <w:p w14:paraId="49642D98" w14:textId="291A7EDE" w:rsidR="00946E34" w:rsidRDefault="00946E34" w:rsidP="00946E34">
      <w:pPr>
        <w:rPr>
          <w:rFonts w:ascii="Times New Roman" w:hAnsi="Times New Roman" w:cs="Times New Roman"/>
          <w:sz w:val="24"/>
          <w:szCs w:val="24"/>
        </w:rPr>
      </w:pPr>
    </w:p>
    <w:p w14:paraId="23360021" w14:textId="3A13AF7C" w:rsidR="00946E34" w:rsidRDefault="00946E34" w:rsidP="00946E34">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Scope and Program Technical Notes</w:t>
      </w:r>
    </w:p>
    <w:p w14:paraId="69AFB8A5" w14:textId="5B2CC432" w:rsidR="00946E34" w:rsidRDefault="00946E34" w:rsidP="00946E34">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Maryland Census of Fatal Occupational Injuries (CFOI) program collects and publishes statistics on all fatal work injures occurring in the State of Maryland. Maryland CFOI is conducted within the Maryland Department of Labor, Division of Labor and Industry in cooperation with the U.S Department of Labor, Bureau of Labor Statistics. CFOI’s published results are the U.S. government’s official tally of workplace fatalities for the nation. Maryland has participated in the CFOI program every year since the program’s inception in 1992. </w:t>
      </w:r>
    </w:p>
    <w:p w14:paraId="154B76CC" w14:textId="77777777" w:rsidR="00946E34" w:rsidRDefault="00946E34" w:rsidP="00946E34">
      <w:pPr>
        <w:autoSpaceDE w:val="0"/>
        <w:autoSpaceDN w:val="0"/>
        <w:adjustRightInd w:val="0"/>
        <w:spacing w:after="0" w:line="240" w:lineRule="auto"/>
        <w:rPr>
          <w:rFonts w:ascii="Times New Roman" w:eastAsia="Times New Roman" w:hAnsi="Times New Roman" w:cs="Times New Roman"/>
          <w:color w:val="000000"/>
          <w:sz w:val="24"/>
          <w:szCs w:val="24"/>
        </w:rPr>
      </w:pPr>
    </w:p>
    <w:p w14:paraId="0B193652" w14:textId="1EEB8FA3" w:rsidR="00946E34" w:rsidRDefault="00946E34" w:rsidP="00946E34">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CFOI provides for a complete accounting of all fatal work injuries that occur in Maryland each year. The program uses diverse data sources from a variety of federal, state, and local government administrative records, as well as the media, in order to substantiate and profile fatal work injuries. CFOI includes data for all workplace fatalities regardless of whether the fatality was under the regulatory authority of the Maryland Occupational Safety and Health agency or other federal and state agencies. Any comparisons, therefore, between the CFOI program’s counts and those released by other agencies or sources should take into account the different coverage requirements and definitions being used. </w:t>
      </w:r>
    </w:p>
    <w:p w14:paraId="6145A2D5" w14:textId="77777777" w:rsidR="00946E34" w:rsidRDefault="00946E34" w:rsidP="00946E34">
      <w:pPr>
        <w:autoSpaceDE w:val="0"/>
        <w:autoSpaceDN w:val="0"/>
        <w:adjustRightInd w:val="0"/>
        <w:spacing w:after="0" w:line="240" w:lineRule="auto"/>
        <w:rPr>
          <w:rFonts w:ascii="Times New Roman" w:eastAsia="Times New Roman" w:hAnsi="Times New Roman" w:cs="Times New Roman"/>
          <w:color w:val="000000"/>
          <w:sz w:val="24"/>
          <w:szCs w:val="24"/>
        </w:rPr>
      </w:pPr>
    </w:p>
    <w:p w14:paraId="4784A450" w14:textId="21CC556D" w:rsidR="00946E34" w:rsidRDefault="00946E34" w:rsidP="00946E34">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a fatality to be included in this census, the decedent must have been employed (defined as working for pay, compensation, or profit) at the time of the event, engaged in a legal work activity, or present at the site of the incident as a requirement of his or her job. Fatalities to volunteers and unpaid family workers who perform the same duties and functions as paid workers are also included in the count. These criteria are generally broader than those used by state and federal agencies administering specific laws and regulations. (Fatalities that occur during a person’s normal commute to and from work are excluded from the census counts.)</w:t>
      </w:r>
    </w:p>
    <w:p w14:paraId="46A07039" w14:textId="3C0ADC28" w:rsidR="00946E34" w:rsidRDefault="00946E34" w:rsidP="00946E34">
      <w:pPr>
        <w:autoSpaceDE w:val="0"/>
        <w:autoSpaceDN w:val="0"/>
        <w:adjustRightInd w:val="0"/>
        <w:spacing w:after="0" w:line="240" w:lineRule="auto"/>
        <w:rPr>
          <w:rFonts w:ascii="Times New Roman" w:eastAsia="Times New Roman" w:hAnsi="Times New Roman" w:cs="Times New Roman"/>
          <w:color w:val="000000"/>
          <w:sz w:val="24"/>
          <w:szCs w:val="24"/>
        </w:rPr>
      </w:pPr>
    </w:p>
    <w:p w14:paraId="07ACC75F" w14:textId="77777777" w:rsidR="00827B87" w:rsidRDefault="00827B87" w:rsidP="00946E34">
      <w:pPr>
        <w:autoSpaceDE w:val="0"/>
        <w:autoSpaceDN w:val="0"/>
        <w:adjustRightInd w:val="0"/>
        <w:spacing w:after="0" w:line="240" w:lineRule="auto"/>
        <w:rPr>
          <w:rFonts w:ascii="Times New Roman" w:eastAsia="Times New Roman" w:hAnsi="Times New Roman" w:cs="Times New Roman"/>
          <w:color w:val="000000"/>
          <w:sz w:val="24"/>
          <w:szCs w:val="24"/>
        </w:rPr>
      </w:pPr>
    </w:p>
    <w:p w14:paraId="13FE0869" w14:textId="708A0C89" w:rsidR="00946E34" w:rsidRDefault="00946E34" w:rsidP="00946E34">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presented in this release include deaths occurring in 202</w:t>
      </w:r>
      <w:r w:rsidR="003C2D9E">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that resulted from traumatic occupational injuries. An injury is defined as any wound or damage to the body resulting from acute exposure to energy, such as heat, electricity, or impact from a crash or fall, or from the absence of such essentials as heat or oxygen, caused by a specific event or incident within a single workday or shift. Fatal injuries included in the fatality census are open wounds; </w:t>
      </w:r>
      <w:r>
        <w:rPr>
          <w:rFonts w:ascii="Times New Roman" w:eastAsia="Times New Roman" w:hAnsi="Times New Roman" w:cs="Times New Roman"/>
          <w:color w:val="000000"/>
          <w:sz w:val="24"/>
          <w:szCs w:val="24"/>
        </w:rPr>
        <w:lastRenderedPageBreak/>
        <w:t>intracranial and internal injuries; heatstroke; hypothermia; asphyxiation; acute poisonings, resulting from short-term exposures limited to the worker’s shift; suicides and homicides; and work injuries listed as underlying or contributory causes of death.</w:t>
      </w:r>
    </w:p>
    <w:p w14:paraId="1395657C" w14:textId="77777777" w:rsidR="00946E34" w:rsidRDefault="00946E34" w:rsidP="00946E34">
      <w:pPr>
        <w:autoSpaceDE w:val="0"/>
        <w:autoSpaceDN w:val="0"/>
        <w:adjustRightInd w:val="0"/>
        <w:spacing w:after="0" w:line="240" w:lineRule="auto"/>
        <w:rPr>
          <w:rFonts w:ascii="Times New Roman" w:eastAsia="Times New Roman" w:hAnsi="Times New Roman" w:cs="Times New Roman"/>
          <w:color w:val="000000"/>
          <w:sz w:val="24"/>
          <w:szCs w:val="24"/>
        </w:rPr>
      </w:pPr>
    </w:p>
    <w:p w14:paraId="65630882" w14:textId="77777777" w:rsidR="00946E34" w:rsidRDefault="00946E34" w:rsidP="00946E34">
      <w:pPr>
        <w:rPr>
          <w:rFonts w:ascii="Times New Roman" w:hAnsi="Times New Roman" w:cs="Times New Roman"/>
          <w:sz w:val="24"/>
          <w:szCs w:val="24"/>
        </w:rPr>
      </w:pPr>
    </w:p>
    <w:p w14:paraId="2B2D3C74" w14:textId="77777777" w:rsidR="00904C7A" w:rsidRDefault="00904C7A">
      <w:pPr>
        <w:rPr>
          <w:rFonts w:ascii="Times New Roman" w:hAnsi="Times New Roman" w:cs="Times New Roman"/>
          <w:sz w:val="24"/>
          <w:szCs w:val="24"/>
        </w:rPr>
      </w:pPr>
    </w:p>
    <w:p w14:paraId="3D3359E3" w14:textId="77777777" w:rsidR="008A4EA2" w:rsidRPr="008A4EA2" w:rsidRDefault="008A4EA2">
      <w:pPr>
        <w:rPr>
          <w:rFonts w:ascii="Times New Roman" w:hAnsi="Times New Roman" w:cs="Times New Roman"/>
          <w:sz w:val="24"/>
          <w:szCs w:val="24"/>
        </w:rPr>
      </w:pPr>
    </w:p>
    <w:sectPr w:rsidR="008A4EA2" w:rsidRPr="008A4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F7C9E"/>
    <w:multiLevelType w:val="hybridMultilevel"/>
    <w:tmpl w:val="19C27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6E0CD9"/>
    <w:multiLevelType w:val="hybridMultilevel"/>
    <w:tmpl w:val="08FC1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A2"/>
    <w:rsid w:val="00032581"/>
    <w:rsid w:val="00044F5B"/>
    <w:rsid w:val="000A5D61"/>
    <w:rsid w:val="000B5548"/>
    <w:rsid w:val="000D7068"/>
    <w:rsid w:val="0010434F"/>
    <w:rsid w:val="00107BAE"/>
    <w:rsid w:val="00165958"/>
    <w:rsid w:val="001674B1"/>
    <w:rsid w:val="0018525A"/>
    <w:rsid w:val="001E03BD"/>
    <w:rsid w:val="00235D29"/>
    <w:rsid w:val="002F5F1A"/>
    <w:rsid w:val="00331B2D"/>
    <w:rsid w:val="003A5161"/>
    <w:rsid w:val="003C2D9E"/>
    <w:rsid w:val="00401240"/>
    <w:rsid w:val="00435235"/>
    <w:rsid w:val="00477AC9"/>
    <w:rsid w:val="004D1623"/>
    <w:rsid w:val="004F00A8"/>
    <w:rsid w:val="0052069A"/>
    <w:rsid w:val="00527792"/>
    <w:rsid w:val="005458D1"/>
    <w:rsid w:val="00564EBE"/>
    <w:rsid w:val="005E26E6"/>
    <w:rsid w:val="00622F64"/>
    <w:rsid w:val="006539B5"/>
    <w:rsid w:val="00692F4E"/>
    <w:rsid w:val="006D15C5"/>
    <w:rsid w:val="006D32CA"/>
    <w:rsid w:val="007001DC"/>
    <w:rsid w:val="007308F5"/>
    <w:rsid w:val="00740524"/>
    <w:rsid w:val="00743B81"/>
    <w:rsid w:val="007A5037"/>
    <w:rsid w:val="007A532F"/>
    <w:rsid w:val="007A5B28"/>
    <w:rsid w:val="007C1F08"/>
    <w:rsid w:val="007E3E4B"/>
    <w:rsid w:val="007E5658"/>
    <w:rsid w:val="008017AD"/>
    <w:rsid w:val="00827B87"/>
    <w:rsid w:val="0083649A"/>
    <w:rsid w:val="008519C9"/>
    <w:rsid w:val="0086613B"/>
    <w:rsid w:val="008A4EA2"/>
    <w:rsid w:val="008C5856"/>
    <w:rsid w:val="008E06AB"/>
    <w:rsid w:val="008E09D9"/>
    <w:rsid w:val="00902B7C"/>
    <w:rsid w:val="00904C7A"/>
    <w:rsid w:val="009372E8"/>
    <w:rsid w:val="00946E34"/>
    <w:rsid w:val="009949AE"/>
    <w:rsid w:val="009B5822"/>
    <w:rsid w:val="009C54AC"/>
    <w:rsid w:val="00A0629D"/>
    <w:rsid w:val="00A3409D"/>
    <w:rsid w:val="00A6014A"/>
    <w:rsid w:val="00A7531E"/>
    <w:rsid w:val="00AB5810"/>
    <w:rsid w:val="00AE50DE"/>
    <w:rsid w:val="00B32745"/>
    <w:rsid w:val="00B64A43"/>
    <w:rsid w:val="00B739B8"/>
    <w:rsid w:val="00BB07EA"/>
    <w:rsid w:val="00BD510B"/>
    <w:rsid w:val="00C6209A"/>
    <w:rsid w:val="00C826E6"/>
    <w:rsid w:val="00C9208D"/>
    <w:rsid w:val="00C968B9"/>
    <w:rsid w:val="00CC1A47"/>
    <w:rsid w:val="00DB0942"/>
    <w:rsid w:val="00DE4F46"/>
    <w:rsid w:val="00E17D50"/>
    <w:rsid w:val="00E601CC"/>
    <w:rsid w:val="00EB0124"/>
    <w:rsid w:val="00EE6659"/>
    <w:rsid w:val="00EF53DF"/>
    <w:rsid w:val="00F40CD0"/>
    <w:rsid w:val="00F428D1"/>
    <w:rsid w:val="00F50410"/>
    <w:rsid w:val="00F66FA8"/>
    <w:rsid w:val="00F73685"/>
    <w:rsid w:val="00F77361"/>
    <w:rsid w:val="00F82E55"/>
    <w:rsid w:val="00F857F0"/>
    <w:rsid w:val="00FE3B45"/>
    <w:rsid w:val="00FE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628B8"/>
  <w15:chartTrackingRefBased/>
  <w15:docId w15:val="{9E8A9EC7-6AFF-4629-B6DE-439B76A3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9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46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46E34"/>
    <w:rPr>
      <w:rFonts w:ascii="Consolas" w:hAnsi="Consolas"/>
      <w:sz w:val="20"/>
      <w:szCs w:val="20"/>
    </w:rPr>
  </w:style>
  <w:style w:type="paragraph" w:styleId="ListParagraph">
    <w:name w:val="List Paragraph"/>
    <w:basedOn w:val="Normal"/>
    <w:uiPriority w:val="34"/>
    <w:qFormat/>
    <w:rsid w:val="00946E34"/>
    <w:pPr>
      <w:spacing w:line="256" w:lineRule="auto"/>
      <w:ind w:left="720"/>
      <w:contextualSpacing/>
    </w:pPr>
  </w:style>
  <w:style w:type="paragraph" w:styleId="Revision">
    <w:name w:val="Revision"/>
    <w:hidden/>
    <w:uiPriority w:val="99"/>
    <w:semiHidden/>
    <w:rsid w:val="00E17D50"/>
    <w:pPr>
      <w:spacing w:after="0" w:line="240" w:lineRule="auto"/>
    </w:pPr>
  </w:style>
  <w:style w:type="character" w:styleId="CommentReference">
    <w:name w:val="annotation reference"/>
    <w:basedOn w:val="DefaultParagraphFont"/>
    <w:uiPriority w:val="99"/>
    <w:semiHidden/>
    <w:unhideWhenUsed/>
    <w:rsid w:val="00E17D50"/>
    <w:rPr>
      <w:sz w:val="16"/>
      <w:szCs w:val="16"/>
    </w:rPr>
  </w:style>
  <w:style w:type="paragraph" w:styleId="CommentText">
    <w:name w:val="annotation text"/>
    <w:basedOn w:val="Normal"/>
    <w:link w:val="CommentTextChar"/>
    <w:uiPriority w:val="99"/>
    <w:unhideWhenUsed/>
    <w:rsid w:val="00E17D50"/>
    <w:pPr>
      <w:spacing w:line="240" w:lineRule="auto"/>
    </w:pPr>
    <w:rPr>
      <w:sz w:val="20"/>
      <w:szCs w:val="20"/>
    </w:rPr>
  </w:style>
  <w:style w:type="character" w:customStyle="1" w:styleId="CommentTextChar">
    <w:name w:val="Comment Text Char"/>
    <w:basedOn w:val="DefaultParagraphFont"/>
    <w:link w:val="CommentText"/>
    <w:uiPriority w:val="99"/>
    <w:rsid w:val="00E17D50"/>
    <w:rPr>
      <w:sz w:val="20"/>
      <w:szCs w:val="20"/>
    </w:rPr>
  </w:style>
  <w:style w:type="paragraph" w:styleId="CommentSubject">
    <w:name w:val="annotation subject"/>
    <w:basedOn w:val="CommentText"/>
    <w:next w:val="CommentText"/>
    <w:link w:val="CommentSubjectChar"/>
    <w:uiPriority w:val="99"/>
    <w:semiHidden/>
    <w:unhideWhenUsed/>
    <w:rsid w:val="00E17D50"/>
    <w:rPr>
      <w:b/>
      <w:bCs/>
    </w:rPr>
  </w:style>
  <w:style w:type="character" w:customStyle="1" w:styleId="CommentSubjectChar">
    <w:name w:val="Comment Subject Char"/>
    <w:basedOn w:val="CommentTextChar"/>
    <w:link w:val="CommentSubject"/>
    <w:uiPriority w:val="99"/>
    <w:semiHidden/>
    <w:rsid w:val="00E17D50"/>
    <w:rPr>
      <w:b/>
      <w:bCs/>
      <w:sz w:val="20"/>
      <w:szCs w:val="20"/>
    </w:rPr>
  </w:style>
  <w:style w:type="character" w:styleId="Hyperlink">
    <w:name w:val="Hyperlink"/>
    <w:basedOn w:val="DefaultParagraphFont"/>
    <w:uiPriority w:val="99"/>
    <w:unhideWhenUsed/>
    <w:rsid w:val="00E601CC"/>
    <w:rPr>
      <w:color w:val="0563C1" w:themeColor="hyperlink"/>
      <w:u w:val="single"/>
    </w:rPr>
  </w:style>
  <w:style w:type="character" w:styleId="UnresolvedMention">
    <w:name w:val="Unresolved Mention"/>
    <w:basedOn w:val="DefaultParagraphFont"/>
    <w:uiPriority w:val="99"/>
    <w:semiHidden/>
    <w:unhideWhenUsed/>
    <w:rsid w:val="00E601CC"/>
    <w:rPr>
      <w:color w:val="605E5C"/>
      <w:shd w:val="clear" w:color="auto" w:fill="E1DFDD"/>
    </w:rPr>
  </w:style>
  <w:style w:type="character" w:styleId="FollowedHyperlink">
    <w:name w:val="FollowedHyperlink"/>
    <w:basedOn w:val="DefaultParagraphFont"/>
    <w:uiPriority w:val="99"/>
    <w:semiHidden/>
    <w:unhideWhenUsed/>
    <w:rsid w:val="00E601CC"/>
    <w:rPr>
      <w:color w:val="954F72" w:themeColor="followedHyperlink"/>
      <w:u w:val="single"/>
    </w:rPr>
  </w:style>
  <w:style w:type="table" w:styleId="TableGrid">
    <w:name w:val="Table Grid"/>
    <w:basedOn w:val="TableNormal"/>
    <w:uiPriority w:val="39"/>
    <w:rsid w:val="00564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64EBE"/>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235D2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9721">
      <w:bodyDiv w:val="1"/>
      <w:marLeft w:val="0"/>
      <w:marRight w:val="0"/>
      <w:marTop w:val="0"/>
      <w:marBottom w:val="0"/>
      <w:divBdr>
        <w:top w:val="none" w:sz="0" w:space="0" w:color="auto"/>
        <w:left w:val="none" w:sz="0" w:space="0" w:color="auto"/>
        <w:bottom w:val="none" w:sz="0" w:space="0" w:color="auto"/>
        <w:right w:val="none" w:sz="0" w:space="0" w:color="auto"/>
      </w:divBdr>
    </w:div>
    <w:div w:id="294410363">
      <w:bodyDiv w:val="1"/>
      <w:marLeft w:val="0"/>
      <w:marRight w:val="0"/>
      <w:marTop w:val="0"/>
      <w:marBottom w:val="0"/>
      <w:divBdr>
        <w:top w:val="none" w:sz="0" w:space="0" w:color="auto"/>
        <w:left w:val="none" w:sz="0" w:space="0" w:color="auto"/>
        <w:bottom w:val="none" w:sz="0" w:space="0" w:color="auto"/>
        <w:right w:val="none" w:sz="0" w:space="0" w:color="auto"/>
      </w:divBdr>
    </w:div>
    <w:div w:id="306130406">
      <w:bodyDiv w:val="1"/>
      <w:marLeft w:val="0"/>
      <w:marRight w:val="0"/>
      <w:marTop w:val="0"/>
      <w:marBottom w:val="0"/>
      <w:divBdr>
        <w:top w:val="none" w:sz="0" w:space="0" w:color="auto"/>
        <w:left w:val="none" w:sz="0" w:space="0" w:color="auto"/>
        <w:bottom w:val="none" w:sz="0" w:space="0" w:color="auto"/>
        <w:right w:val="none" w:sz="0" w:space="0" w:color="auto"/>
      </w:divBdr>
    </w:div>
    <w:div w:id="464396211">
      <w:bodyDiv w:val="1"/>
      <w:marLeft w:val="0"/>
      <w:marRight w:val="0"/>
      <w:marTop w:val="0"/>
      <w:marBottom w:val="0"/>
      <w:divBdr>
        <w:top w:val="none" w:sz="0" w:space="0" w:color="auto"/>
        <w:left w:val="none" w:sz="0" w:space="0" w:color="auto"/>
        <w:bottom w:val="none" w:sz="0" w:space="0" w:color="auto"/>
        <w:right w:val="none" w:sz="0" w:space="0" w:color="auto"/>
      </w:divBdr>
    </w:div>
    <w:div w:id="468549605">
      <w:bodyDiv w:val="1"/>
      <w:marLeft w:val="0"/>
      <w:marRight w:val="0"/>
      <w:marTop w:val="0"/>
      <w:marBottom w:val="0"/>
      <w:divBdr>
        <w:top w:val="none" w:sz="0" w:space="0" w:color="auto"/>
        <w:left w:val="none" w:sz="0" w:space="0" w:color="auto"/>
        <w:bottom w:val="none" w:sz="0" w:space="0" w:color="auto"/>
        <w:right w:val="none" w:sz="0" w:space="0" w:color="auto"/>
      </w:divBdr>
    </w:div>
    <w:div w:id="551114516">
      <w:bodyDiv w:val="1"/>
      <w:marLeft w:val="0"/>
      <w:marRight w:val="0"/>
      <w:marTop w:val="0"/>
      <w:marBottom w:val="0"/>
      <w:divBdr>
        <w:top w:val="none" w:sz="0" w:space="0" w:color="auto"/>
        <w:left w:val="none" w:sz="0" w:space="0" w:color="auto"/>
        <w:bottom w:val="none" w:sz="0" w:space="0" w:color="auto"/>
        <w:right w:val="none" w:sz="0" w:space="0" w:color="auto"/>
      </w:divBdr>
    </w:div>
    <w:div w:id="616907884">
      <w:bodyDiv w:val="1"/>
      <w:marLeft w:val="0"/>
      <w:marRight w:val="0"/>
      <w:marTop w:val="0"/>
      <w:marBottom w:val="0"/>
      <w:divBdr>
        <w:top w:val="none" w:sz="0" w:space="0" w:color="auto"/>
        <w:left w:val="none" w:sz="0" w:space="0" w:color="auto"/>
        <w:bottom w:val="none" w:sz="0" w:space="0" w:color="auto"/>
        <w:right w:val="none" w:sz="0" w:space="0" w:color="auto"/>
      </w:divBdr>
    </w:div>
    <w:div w:id="669018439">
      <w:bodyDiv w:val="1"/>
      <w:marLeft w:val="0"/>
      <w:marRight w:val="0"/>
      <w:marTop w:val="0"/>
      <w:marBottom w:val="0"/>
      <w:divBdr>
        <w:top w:val="none" w:sz="0" w:space="0" w:color="auto"/>
        <w:left w:val="none" w:sz="0" w:space="0" w:color="auto"/>
        <w:bottom w:val="none" w:sz="0" w:space="0" w:color="auto"/>
        <w:right w:val="none" w:sz="0" w:space="0" w:color="auto"/>
      </w:divBdr>
    </w:div>
    <w:div w:id="698044153">
      <w:bodyDiv w:val="1"/>
      <w:marLeft w:val="0"/>
      <w:marRight w:val="0"/>
      <w:marTop w:val="0"/>
      <w:marBottom w:val="0"/>
      <w:divBdr>
        <w:top w:val="none" w:sz="0" w:space="0" w:color="auto"/>
        <w:left w:val="none" w:sz="0" w:space="0" w:color="auto"/>
        <w:bottom w:val="none" w:sz="0" w:space="0" w:color="auto"/>
        <w:right w:val="none" w:sz="0" w:space="0" w:color="auto"/>
      </w:divBdr>
    </w:div>
    <w:div w:id="862669656">
      <w:bodyDiv w:val="1"/>
      <w:marLeft w:val="0"/>
      <w:marRight w:val="0"/>
      <w:marTop w:val="0"/>
      <w:marBottom w:val="0"/>
      <w:divBdr>
        <w:top w:val="none" w:sz="0" w:space="0" w:color="auto"/>
        <w:left w:val="none" w:sz="0" w:space="0" w:color="auto"/>
        <w:bottom w:val="none" w:sz="0" w:space="0" w:color="auto"/>
        <w:right w:val="none" w:sz="0" w:space="0" w:color="auto"/>
      </w:divBdr>
    </w:div>
    <w:div w:id="918292942">
      <w:bodyDiv w:val="1"/>
      <w:marLeft w:val="0"/>
      <w:marRight w:val="0"/>
      <w:marTop w:val="0"/>
      <w:marBottom w:val="0"/>
      <w:divBdr>
        <w:top w:val="none" w:sz="0" w:space="0" w:color="auto"/>
        <w:left w:val="none" w:sz="0" w:space="0" w:color="auto"/>
        <w:bottom w:val="none" w:sz="0" w:space="0" w:color="auto"/>
        <w:right w:val="none" w:sz="0" w:space="0" w:color="auto"/>
      </w:divBdr>
    </w:div>
    <w:div w:id="963652693">
      <w:bodyDiv w:val="1"/>
      <w:marLeft w:val="0"/>
      <w:marRight w:val="0"/>
      <w:marTop w:val="0"/>
      <w:marBottom w:val="0"/>
      <w:divBdr>
        <w:top w:val="none" w:sz="0" w:space="0" w:color="auto"/>
        <w:left w:val="none" w:sz="0" w:space="0" w:color="auto"/>
        <w:bottom w:val="none" w:sz="0" w:space="0" w:color="auto"/>
        <w:right w:val="none" w:sz="0" w:space="0" w:color="auto"/>
      </w:divBdr>
    </w:div>
    <w:div w:id="970289848">
      <w:bodyDiv w:val="1"/>
      <w:marLeft w:val="0"/>
      <w:marRight w:val="0"/>
      <w:marTop w:val="0"/>
      <w:marBottom w:val="0"/>
      <w:divBdr>
        <w:top w:val="none" w:sz="0" w:space="0" w:color="auto"/>
        <w:left w:val="none" w:sz="0" w:space="0" w:color="auto"/>
        <w:bottom w:val="none" w:sz="0" w:space="0" w:color="auto"/>
        <w:right w:val="none" w:sz="0" w:space="0" w:color="auto"/>
      </w:divBdr>
    </w:div>
    <w:div w:id="993873423">
      <w:bodyDiv w:val="1"/>
      <w:marLeft w:val="0"/>
      <w:marRight w:val="0"/>
      <w:marTop w:val="0"/>
      <w:marBottom w:val="0"/>
      <w:divBdr>
        <w:top w:val="none" w:sz="0" w:space="0" w:color="auto"/>
        <w:left w:val="none" w:sz="0" w:space="0" w:color="auto"/>
        <w:bottom w:val="none" w:sz="0" w:space="0" w:color="auto"/>
        <w:right w:val="none" w:sz="0" w:space="0" w:color="auto"/>
      </w:divBdr>
    </w:div>
    <w:div w:id="1082531168">
      <w:bodyDiv w:val="1"/>
      <w:marLeft w:val="0"/>
      <w:marRight w:val="0"/>
      <w:marTop w:val="0"/>
      <w:marBottom w:val="0"/>
      <w:divBdr>
        <w:top w:val="none" w:sz="0" w:space="0" w:color="auto"/>
        <w:left w:val="none" w:sz="0" w:space="0" w:color="auto"/>
        <w:bottom w:val="none" w:sz="0" w:space="0" w:color="auto"/>
        <w:right w:val="none" w:sz="0" w:space="0" w:color="auto"/>
      </w:divBdr>
    </w:div>
    <w:div w:id="1116413057">
      <w:bodyDiv w:val="1"/>
      <w:marLeft w:val="0"/>
      <w:marRight w:val="0"/>
      <w:marTop w:val="0"/>
      <w:marBottom w:val="0"/>
      <w:divBdr>
        <w:top w:val="none" w:sz="0" w:space="0" w:color="auto"/>
        <w:left w:val="none" w:sz="0" w:space="0" w:color="auto"/>
        <w:bottom w:val="none" w:sz="0" w:space="0" w:color="auto"/>
        <w:right w:val="none" w:sz="0" w:space="0" w:color="auto"/>
      </w:divBdr>
    </w:div>
    <w:div w:id="1374305787">
      <w:bodyDiv w:val="1"/>
      <w:marLeft w:val="0"/>
      <w:marRight w:val="0"/>
      <w:marTop w:val="0"/>
      <w:marBottom w:val="0"/>
      <w:divBdr>
        <w:top w:val="none" w:sz="0" w:space="0" w:color="auto"/>
        <w:left w:val="none" w:sz="0" w:space="0" w:color="auto"/>
        <w:bottom w:val="none" w:sz="0" w:space="0" w:color="auto"/>
        <w:right w:val="none" w:sz="0" w:space="0" w:color="auto"/>
      </w:divBdr>
    </w:div>
    <w:div w:id="1495418699">
      <w:bodyDiv w:val="1"/>
      <w:marLeft w:val="0"/>
      <w:marRight w:val="0"/>
      <w:marTop w:val="0"/>
      <w:marBottom w:val="0"/>
      <w:divBdr>
        <w:top w:val="none" w:sz="0" w:space="0" w:color="auto"/>
        <w:left w:val="none" w:sz="0" w:space="0" w:color="auto"/>
        <w:bottom w:val="none" w:sz="0" w:space="0" w:color="auto"/>
        <w:right w:val="none" w:sz="0" w:space="0" w:color="auto"/>
      </w:divBdr>
    </w:div>
    <w:div w:id="1571696836">
      <w:bodyDiv w:val="1"/>
      <w:marLeft w:val="0"/>
      <w:marRight w:val="0"/>
      <w:marTop w:val="0"/>
      <w:marBottom w:val="0"/>
      <w:divBdr>
        <w:top w:val="none" w:sz="0" w:space="0" w:color="auto"/>
        <w:left w:val="none" w:sz="0" w:space="0" w:color="auto"/>
        <w:bottom w:val="none" w:sz="0" w:space="0" w:color="auto"/>
        <w:right w:val="none" w:sz="0" w:space="0" w:color="auto"/>
      </w:divBdr>
    </w:div>
    <w:div w:id="1611275323">
      <w:bodyDiv w:val="1"/>
      <w:marLeft w:val="0"/>
      <w:marRight w:val="0"/>
      <w:marTop w:val="0"/>
      <w:marBottom w:val="0"/>
      <w:divBdr>
        <w:top w:val="none" w:sz="0" w:space="0" w:color="auto"/>
        <w:left w:val="none" w:sz="0" w:space="0" w:color="auto"/>
        <w:bottom w:val="none" w:sz="0" w:space="0" w:color="auto"/>
        <w:right w:val="none" w:sz="0" w:space="0" w:color="auto"/>
      </w:divBdr>
    </w:div>
    <w:div w:id="1641223587">
      <w:bodyDiv w:val="1"/>
      <w:marLeft w:val="0"/>
      <w:marRight w:val="0"/>
      <w:marTop w:val="0"/>
      <w:marBottom w:val="0"/>
      <w:divBdr>
        <w:top w:val="none" w:sz="0" w:space="0" w:color="auto"/>
        <w:left w:val="none" w:sz="0" w:space="0" w:color="auto"/>
        <w:bottom w:val="none" w:sz="0" w:space="0" w:color="auto"/>
        <w:right w:val="none" w:sz="0" w:space="0" w:color="auto"/>
      </w:divBdr>
    </w:div>
    <w:div w:id="1649242525">
      <w:bodyDiv w:val="1"/>
      <w:marLeft w:val="0"/>
      <w:marRight w:val="0"/>
      <w:marTop w:val="0"/>
      <w:marBottom w:val="0"/>
      <w:divBdr>
        <w:top w:val="none" w:sz="0" w:space="0" w:color="auto"/>
        <w:left w:val="none" w:sz="0" w:space="0" w:color="auto"/>
        <w:bottom w:val="none" w:sz="0" w:space="0" w:color="auto"/>
        <w:right w:val="none" w:sz="0" w:space="0" w:color="auto"/>
      </w:divBdr>
    </w:div>
    <w:div w:id="1686901730">
      <w:bodyDiv w:val="1"/>
      <w:marLeft w:val="0"/>
      <w:marRight w:val="0"/>
      <w:marTop w:val="0"/>
      <w:marBottom w:val="0"/>
      <w:divBdr>
        <w:top w:val="none" w:sz="0" w:space="0" w:color="auto"/>
        <w:left w:val="none" w:sz="0" w:space="0" w:color="auto"/>
        <w:bottom w:val="none" w:sz="0" w:space="0" w:color="auto"/>
        <w:right w:val="none" w:sz="0" w:space="0" w:color="auto"/>
      </w:divBdr>
    </w:div>
    <w:div w:id="204860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cc02.safelinks.protection.outlook.com/?url=https%3A%2F%2Fwww.bls.gov%2Fregions%2Fmid-atlantic%2Fnews-release%2Fworkplaceinjuriesandillnesses_maryland.htm&amp;data=05%7C02%7CLong_T%40states.bls.gov%7Ca5a3f60c5c2243482e1108dd87dfa7bf%7Ca9d68dbce25744a69402701bccc3af73%7C0%7C0%7C638816116844225660%7CUnknown%7CTWFpbGZsb3d8eyJFbXB0eU1hcGkiOnRydWUsIlYiOiIwLjAuMDAwMCIsIlAiOiJXaW4zMiIsIkFOIjoiTWFpbCIsIldUIjoyfQ%3D%3D%7C0%7C%7C%7C&amp;sdata=aJu3AljvVBeBwo86oJupZsoWuimuHRLI1HTRq%2B9jftI%3D&amp;reserved=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0" i="0" baseline="0">
                <a:effectLst/>
                <a:latin typeface="Times New Roman" panose="02020603050405020304" pitchFamily="18" charset="0"/>
                <a:cs typeface="Times New Roman" panose="02020603050405020304" pitchFamily="18" charset="0"/>
              </a:rPr>
              <a:t>Total Fatal Occupational Injuries, Maryland, 2006 - 2023</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Total Fatalities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Sheet1!$A$2:$A$19</c:f>
              <c:numCache>
                <c:formatCode>General</c:formatCode>
                <c:ptCount val="18"/>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numCache>
            </c:numRef>
          </c:cat>
          <c:val>
            <c:numRef>
              <c:f>Sheet1!$B$2:$B$19</c:f>
              <c:numCache>
                <c:formatCode>General</c:formatCode>
                <c:ptCount val="18"/>
                <c:pt idx="0">
                  <c:v>106</c:v>
                </c:pt>
                <c:pt idx="1">
                  <c:v>82</c:v>
                </c:pt>
                <c:pt idx="2">
                  <c:v>60</c:v>
                </c:pt>
                <c:pt idx="3">
                  <c:v>65</c:v>
                </c:pt>
                <c:pt idx="4">
                  <c:v>71</c:v>
                </c:pt>
                <c:pt idx="5">
                  <c:v>71</c:v>
                </c:pt>
                <c:pt idx="6">
                  <c:v>72</c:v>
                </c:pt>
                <c:pt idx="7">
                  <c:v>79</c:v>
                </c:pt>
                <c:pt idx="8">
                  <c:v>74</c:v>
                </c:pt>
                <c:pt idx="9">
                  <c:v>69</c:v>
                </c:pt>
                <c:pt idx="10">
                  <c:v>92</c:v>
                </c:pt>
                <c:pt idx="11">
                  <c:v>87</c:v>
                </c:pt>
                <c:pt idx="12">
                  <c:v>97</c:v>
                </c:pt>
                <c:pt idx="13">
                  <c:v>78</c:v>
                </c:pt>
                <c:pt idx="14">
                  <c:v>59</c:v>
                </c:pt>
                <c:pt idx="15">
                  <c:v>80</c:v>
                </c:pt>
                <c:pt idx="16">
                  <c:v>80</c:v>
                </c:pt>
                <c:pt idx="17">
                  <c:v>69</c:v>
                </c:pt>
              </c:numCache>
            </c:numRef>
          </c:val>
          <c:extLst>
            <c:ext xmlns:c16="http://schemas.microsoft.com/office/drawing/2014/chart" uri="{C3380CC4-5D6E-409C-BE32-E72D297353CC}">
              <c16:uniqueId val="{00000000-2355-480A-9184-B528EE4814EA}"/>
            </c:ext>
          </c:extLst>
        </c:ser>
        <c:dLbls>
          <c:dLblPos val="outEnd"/>
          <c:showLegendKey val="0"/>
          <c:showVal val="1"/>
          <c:showCatName val="0"/>
          <c:showSerName val="0"/>
          <c:showPercent val="0"/>
          <c:showBubbleSize val="0"/>
        </c:dLbls>
        <c:gapWidth val="219"/>
        <c:overlap val="-27"/>
        <c:axId val="108655664"/>
        <c:axId val="108651312"/>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Sheet1!$A$2:$A$19</c15:sqref>
                        </c15:formulaRef>
                      </c:ext>
                    </c:extLst>
                    <c:numCache>
                      <c:formatCode>General</c:formatCode>
                      <c:ptCount val="18"/>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numCache>
                  </c:numRef>
                </c:cat>
                <c:val>
                  <c:numRef>
                    <c:extLst>
                      <c:ext uri="{02D57815-91ED-43cb-92C2-25804820EDAC}">
                        <c15:formulaRef>
                          <c15:sqref>Sheet1!$C$2:$C$19</c15:sqref>
                        </c15:formulaRef>
                      </c:ext>
                    </c:extLst>
                    <c:numCache>
                      <c:formatCode>General</c:formatCode>
                      <c:ptCount val="18"/>
                      <c:pt idx="0">
                        <c:v>2.4</c:v>
                      </c:pt>
                      <c:pt idx="1">
                        <c:v>4.4000000000000004</c:v>
                      </c:pt>
                      <c:pt idx="2">
                        <c:v>1.8</c:v>
                      </c:pt>
                      <c:pt idx="3">
                        <c:v>2.8</c:v>
                      </c:pt>
                    </c:numCache>
                  </c:numRef>
                </c:val>
                <c:extLst>
                  <c:ext xmlns:c16="http://schemas.microsoft.com/office/drawing/2014/chart" uri="{C3380CC4-5D6E-409C-BE32-E72D297353CC}">
                    <c16:uniqueId val="{00000001-2355-480A-9184-B528EE4814E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Sheet1!$A$2:$A$19</c15:sqref>
                        </c15:formulaRef>
                      </c:ext>
                    </c:extLst>
                    <c:numCache>
                      <c:formatCode>General</c:formatCode>
                      <c:ptCount val="18"/>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numCache>
                  </c:numRef>
                </c:cat>
                <c:val>
                  <c:numRef>
                    <c:extLst xmlns:c15="http://schemas.microsoft.com/office/drawing/2012/chart">
                      <c:ext xmlns:c15="http://schemas.microsoft.com/office/drawing/2012/chart" uri="{02D57815-91ED-43cb-92C2-25804820EDAC}">
                        <c15:formulaRef>
                          <c15:sqref>Sheet1!$D$2:$D$19</c15:sqref>
                        </c15:formulaRef>
                      </c:ext>
                    </c:extLst>
                    <c:numCache>
                      <c:formatCode>General</c:formatCode>
                      <c:ptCount val="18"/>
                      <c:pt idx="0">
                        <c:v>2</c:v>
                      </c:pt>
                      <c:pt idx="1">
                        <c:v>2</c:v>
                      </c:pt>
                      <c:pt idx="2">
                        <c:v>3</c:v>
                      </c:pt>
                      <c:pt idx="3">
                        <c:v>5</c:v>
                      </c:pt>
                    </c:numCache>
                  </c:numRef>
                </c:val>
                <c:extLst xmlns:c15="http://schemas.microsoft.com/office/drawing/2012/chart">
                  <c:ext xmlns:c16="http://schemas.microsoft.com/office/drawing/2014/chart" uri="{C3380CC4-5D6E-409C-BE32-E72D297353CC}">
                    <c16:uniqueId val="{00000002-2355-480A-9184-B528EE4814EA}"/>
                  </c:ext>
                </c:extLst>
              </c15:ser>
            </c15:filteredBarSeries>
          </c:ext>
        </c:extLst>
      </c:barChart>
      <c:catAx>
        <c:axId val="10865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51312"/>
        <c:crosses val="autoZero"/>
        <c:auto val="1"/>
        <c:lblAlgn val="ctr"/>
        <c:lblOffset val="100"/>
        <c:noMultiLvlLbl val="0"/>
      </c:catAx>
      <c:valAx>
        <c:axId val="108651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5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Fatal Work Injuries by Event, Maryland,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Fatal Work Injuries by Event, Maryland, 2023</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F9-4144-9530-2161A52CEC8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F9-4144-9530-2161A52CEC8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F9-4144-9530-2161A52CEC8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CF9-4144-9530-2161A52CEC8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CF9-4144-9530-2161A52CEC8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     Transportation incidents</c:v>
                </c:pt>
                <c:pt idx="1">
                  <c:v>     Exposure to harmful substances, environments</c:v>
                </c:pt>
                <c:pt idx="2">
                  <c:v>     Violent acts</c:v>
                </c:pt>
                <c:pt idx="3">
                  <c:v>     Contact incidents</c:v>
                </c:pt>
                <c:pt idx="4">
                  <c:v>     Falls, slips, trips</c:v>
                </c:pt>
              </c:strCache>
            </c:strRef>
          </c:cat>
          <c:val>
            <c:numRef>
              <c:f>Sheet1!$B$2:$B$6</c:f>
              <c:numCache>
                <c:formatCode>General</c:formatCode>
                <c:ptCount val="5"/>
                <c:pt idx="0">
                  <c:v>26</c:v>
                </c:pt>
                <c:pt idx="1">
                  <c:v>19</c:v>
                </c:pt>
                <c:pt idx="2">
                  <c:v>9</c:v>
                </c:pt>
                <c:pt idx="3">
                  <c:v>7</c:v>
                </c:pt>
                <c:pt idx="4">
                  <c:v>6</c:v>
                </c:pt>
              </c:numCache>
            </c:numRef>
          </c:val>
          <c:extLst>
            <c:ext xmlns:c16="http://schemas.microsoft.com/office/drawing/2014/chart" uri="{C3380CC4-5D6E-409C-BE32-E72D297353CC}">
              <c16:uniqueId val="{00000000-A965-4833-9AB1-A2C94543EA0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r>
              <a:rPr lang="en-US"/>
              <a:t>Fatal Work Injuries in Selected Industries, Maryland, 2023 vs 2022</a:t>
            </a:r>
          </a:p>
        </c:rich>
      </c:tx>
      <c:layout>
        <c:manualLayout>
          <c:xMode val="edge"/>
          <c:yMode val="edge"/>
          <c:x val="0.1271697351328907"/>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2022</c:v>
                </c:pt>
              </c:strCache>
            </c:strRef>
          </c:tx>
          <c:spPr>
            <a:solidFill>
              <a:schemeClr val="accent2"/>
            </a:solidFill>
            <a:ln>
              <a:noFill/>
            </a:ln>
            <a:effectLst/>
          </c:spPr>
          <c:invertIfNegative val="0"/>
          <c:cat>
            <c:strRef>
              <c:f>Sheet1!$A$2:$A$5</c:f>
              <c:strCache>
                <c:ptCount val="4"/>
                <c:pt idx="0">
                  <c:v>Local government</c:v>
                </c:pt>
                <c:pt idx="1">
                  <c:v>Administrative and support and waste management and remediation services </c:v>
                </c:pt>
                <c:pt idx="2">
                  <c:v>Construction</c:v>
                </c:pt>
                <c:pt idx="3">
                  <c:v>Transportation and warehousing</c:v>
                </c:pt>
              </c:strCache>
            </c:strRef>
          </c:cat>
          <c:val>
            <c:numRef>
              <c:f>Sheet1!$B$2:$B$5</c:f>
              <c:numCache>
                <c:formatCode>General</c:formatCode>
                <c:ptCount val="4"/>
                <c:pt idx="0">
                  <c:v>7</c:v>
                </c:pt>
                <c:pt idx="1">
                  <c:v>11</c:v>
                </c:pt>
                <c:pt idx="2">
                  <c:v>16</c:v>
                </c:pt>
                <c:pt idx="3">
                  <c:v>12</c:v>
                </c:pt>
              </c:numCache>
            </c:numRef>
          </c:val>
          <c:extLst>
            <c:ext xmlns:c16="http://schemas.microsoft.com/office/drawing/2014/chart" uri="{C3380CC4-5D6E-409C-BE32-E72D297353CC}">
              <c16:uniqueId val="{00000000-8DC9-40EF-B5FA-B0E69BB7FFB0}"/>
            </c:ext>
          </c:extLst>
        </c:ser>
        <c:ser>
          <c:idx val="1"/>
          <c:order val="1"/>
          <c:tx>
            <c:strRef>
              <c:f>Sheet1!$C$1</c:f>
              <c:strCache>
                <c:ptCount val="1"/>
                <c:pt idx="0">
                  <c:v>2023</c:v>
                </c:pt>
              </c:strCache>
            </c:strRef>
          </c:tx>
          <c:spPr>
            <a:solidFill>
              <a:schemeClr val="accent1"/>
            </a:solidFill>
            <a:ln>
              <a:noFill/>
            </a:ln>
            <a:effectLst/>
          </c:spPr>
          <c:invertIfNegative val="0"/>
          <c:cat>
            <c:strRef>
              <c:f>Sheet1!$A$2:$A$5</c:f>
              <c:strCache>
                <c:ptCount val="4"/>
                <c:pt idx="0">
                  <c:v>Local government</c:v>
                </c:pt>
                <c:pt idx="1">
                  <c:v>Administrative and support and waste management and remediation services </c:v>
                </c:pt>
                <c:pt idx="2">
                  <c:v>Construction</c:v>
                </c:pt>
                <c:pt idx="3">
                  <c:v>Transportation and warehousing</c:v>
                </c:pt>
              </c:strCache>
            </c:strRef>
          </c:cat>
          <c:val>
            <c:numRef>
              <c:f>Sheet1!$C$2:$C$5</c:f>
              <c:numCache>
                <c:formatCode>General</c:formatCode>
                <c:ptCount val="4"/>
                <c:pt idx="0">
                  <c:v>4</c:v>
                </c:pt>
                <c:pt idx="1">
                  <c:v>9</c:v>
                </c:pt>
                <c:pt idx="2">
                  <c:v>15</c:v>
                </c:pt>
                <c:pt idx="3">
                  <c:v>17</c:v>
                </c:pt>
              </c:numCache>
            </c:numRef>
          </c:val>
          <c:extLst>
            <c:ext xmlns:c16="http://schemas.microsoft.com/office/drawing/2014/chart" uri="{C3380CC4-5D6E-409C-BE32-E72D297353CC}">
              <c16:uniqueId val="{00000001-8DC9-40EF-B5FA-B0E69BB7FFB0}"/>
            </c:ext>
          </c:extLst>
        </c:ser>
        <c:dLbls>
          <c:showLegendKey val="0"/>
          <c:showVal val="0"/>
          <c:showCatName val="0"/>
          <c:showSerName val="0"/>
          <c:showPercent val="0"/>
          <c:showBubbleSize val="0"/>
        </c:dLbls>
        <c:gapWidth val="182"/>
        <c:axId val="2108843439"/>
        <c:axId val="2108840527"/>
      </c:barChart>
      <c:catAx>
        <c:axId val="2108843439"/>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2108840527"/>
        <c:crosses val="autoZero"/>
        <c:auto val="1"/>
        <c:lblAlgn val="ctr"/>
        <c:lblOffset val="100"/>
        <c:noMultiLvlLbl val="0"/>
      </c:catAx>
      <c:valAx>
        <c:axId val="21088405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2108843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Selected Occupations with the Highest Number of Fatal Injuries,</a:t>
            </a:r>
            <a:r>
              <a:rPr lang="en-US" baseline="0"/>
              <a:t> Maryland, 2023 vs 2022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2022</c:v>
                </c:pt>
              </c:strCache>
            </c:strRef>
          </c:tx>
          <c:spPr>
            <a:solidFill>
              <a:schemeClr val="accent1"/>
            </a:solidFill>
            <a:ln>
              <a:noFill/>
            </a:ln>
            <a:effectLst/>
          </c:spPr>
          <c:invertIfNegative val="0"/>
          <c:cat>
            <c:strRef>
              <c:f>Sheet1!$A$2:$A$5</c:f>
              <c:strCache>
                <c:ptCount val="4"/>
                <c:pt idx="0">
                  <c:v>Transportation and material moving </c:v>
                </c:pt>
                <c:pt idx="1">
                  <c:v>Construction and extraction </c:v>
                </c:pt>
                <c:pt idx="2">
                  <c:v>Protective service </c:v>
                </c:pt>
                <c:pt idx="3">
                  <c:v>Installation, maintenance,and repair </c:v>
                </c:pt>
              </c:strCache>
            </c:strRef>
          </c:cat>
          <c:val>
            <c:numRef>
              <c:f>Sheet1!$B$8:$B$11</c:f>
              <c:numCache>
                <c:formatCode>General</c:formatCode>
                <c:ptCount val="4"/>
                <c:pt idx="0">
                  <c:v>26</c:v>
                </c:pt>
                <c:pt idx="1">
                  <c:v>11</c:v>
                </c:pt>
                <c:pt idx="2">
                  <c:v>11</c:v>
                </c:pt>
                <c:pt idx="3">
                  <c:v>8</c:v>
                </c:pt>
              </c:numCache>
            </c:numRef>
          </c:val>
          <c:extLst>
            <c:ext xmlns:c16="http://schemas.microsoft.com/office/drawing/2014/chart" uri="{C3380CC4-5D6E-409C-BE32-E72D297353CC}">
              <c16:uniqueId val="{00000000-1616-4BCF-B4B0-E5EC213FF090}"/>
            </c:ext>
          </c:extLst>
        </c:ser>
        <c:ser>
          <c:idx val="1"/>
          <c:order val="1"/>
          <c:tx>
            <c:strRef>
              <c:f>Sheet1!$C$1</c:f>
              <c:strCache>
                <c:ptCount val="1"/>
                <c:pt idx="0">
                  <c:v>2023</c:v>
                </c:pt>
              </c:strCache>
            </c:strRef>
          </c:tx>
          <c:spPr>
            <a:solidFill>
              <a:schemeClr val="accent2"/>
            </a:solidFill>
            <a:ln>
              <a:noFill/>
            </a:ln>
            <a:effectLst/>
          </c:spPr>
          <c:invertIfNegative val="0"/>
          <c:cat>
            <c:strRef>
              <c:f>Sheet1!$A$2:$A$5</c:f>
              <c:strCache>
                <c:ptCount val="4"/>
                <c:pt idx="0">
                  <c:v>Transportation and material moving </c:v>
                </c:pt>
                <c:pt idx="1">
                  <c:v>Construction and extraction </c:v>
                </c:pt>
                <c:pt idx="2">
                  <c:v>Protective service </c:v>
                </c:pt>
                <c:pt idx="3">
                  <c:v>Installation, maintenance,and repair </c:v>
                </c:pt>
              </c:strCache>
            </c:strRef>
          </c:cat>
          <c:val>
            <c:numRef>
              <c:f>Sheet1!$C$8:$C$11</c:f>
              <c:numCache>
                <c:formatCode>General</c:formatCode>
                <c:ptCount val="4"/>
                <c:pt idx="0">
                  <c:v>21</c:v>
                </c:pt>
                <c:pt idx="1">
                  <c:v>15</c:v>
                </c:pt>
                <c:pt idx="2">
                  <c:v>8</c:v>
                </c:pt>
                <c:pt idx="3">
                  <c:v>8</c:v>
                </c:pt>
              </c:numCache>
            </c:numRef>
          </c:val>
          <c:extLst>
            <c:ext xmlns:c16="http://schemas.microsoft.com/office/drawing/2014/chart" uri="{C3380CC4-5D6E-409C-BE32-E72D297353CC}">
              <c16:uniqueId val="{00000001-1616-4BCF-B4B0-E5EC213FF090}"/>
            </c:ext>
          </c:extLst>
        </c:ser>
        <c:dLbls>
          <c:showLegendKey val="0"/>
          <c:showVal val="0"/>
          <c:showCatName val="0"/>
          <c:showSerName val="0"/>
          <c:showPercent val="0"/>
          <c:showBubbleSize val="0"/>
        </c:dLbls>
        <c:gapWidth val="219"/>
        <c:overlap val="-27"/>
        <c:axId val="1972368784"/>
        <c:axId val="1627925376"/>
      </c:barChart>
      <c:catAx>
        <c:axId val="197236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7925376"/>
        <c:crosses val="autoZero"/>
        <c:auto val="1"/>
        <c:lblAlgn val="ctr"/>
        <c:lblOffset val="100"/>
        <c:noMultiLvlLbl val="0"/>
      </c:catAx>
      <c:valAx>
        <c:axId val="1627925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2368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ED212-40C3-436B-8D20-6066C153C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1470</Words>
  <Characters>8383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Long</dc:creator>
  <cp:keywords/>
  <dc:description/>
  <cp:lastModifiedBy>Trinity Long -LABOR-</cp:lastModifiedBy>
  <cp:revision>8</cp:revision>
  <dcterms:created xsi:type="dcterms:W3CDTF">2026-06-05T18:02:00Z</dcterms:created>
  <dcterms:modified xsi:type="dcterms:W3CDTF">2026-06-05T18:17:00Z</dcterms:modified>
</cp:coreProperties>
</file>